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4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15508F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关于印发《2011年“百名法学家百场报告会”</w:t>
      </w:r>
      <w:r w:rsidR="004B0D44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法治宣讲活动实施方案》</w:t>
      </w:r>
      <w:r w:rsidRPr="0015508F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《“百名法学家百场报告会”法治宣讲活动组委会组成人员名单》及中央政法委员会副秘书长王其江同志和中国法学会党组书记、常务副会长刘飏同志讲话的通知</w:t>
      </w:r>
    </w:p>
    <w:p w:rsidR="004B0D44" w:rsidRDefault="004B0D44" w:rsidP="0015508F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bookmarkStart w:id="0" w:name="_GoBack"/>
      <w:bookmarkEnd w:id="0"/>
    </w:p>
    <w:p w:rsidR="00FD2792" w:rsidRPr="004B0D44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4B0D4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(会字[2011]29号)</w:t>
      </w:r>
    </w:p>
    <w:p w:rsidR="00FD2792" w:rsidRDefault="002F0D7F">
      <w:pPr>
        <w:pStyle w:val="a3"/>
        <w:widowControl/>
        <w:jc w:val="center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各省(自治区、直辖市)党委组织部、宣传部、政法委，政府教育厅(教委)、司法厅(局)，各法学会，新疆生产建设兵团党委组织部、宣传部、政法委、教育局、司法局、法学会：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经中央领导批准，3月17日，在北京召开了2011年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法治宣讲活动(简称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活动)组委会(扩大)会议。会议总结了2010年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活动情况，研究部署了2011年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活动工作任务。现将《2011年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法治宣讲活动实施方案》、《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法治宣讲活动组委会组成人员名单》及中央政法委员会副秘书长王其江同志和中国法学会党组书记、常务副会长刘飏同志在组委会(扩大)会议上的讲话印发。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组织开展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活动，功在当代，利在千秋，意义重大。全国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活动组委会将进一步加大对活动的组织协调和指导力度。各省、自治区、直辖市(含新疆生产建设兵团)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活动组委会要进一步健全组织领导机构，加强对活动的组织领导，精心筹划，周密组织，确保活动取得更大更好的社会影响和效果，为全面落实依法治国基本方略、加快建设社会主义法治国家做出新的贡献。</w:t>
      </w:r>
    </w:p>
    <w:p w:rsid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1600" w:firstLine="512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  <w:r w:rsidR="0015508F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　　　　　　　　　　　</w:t>
      </w: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2011年5月5日</w:t>
      </w:r>
    </w:p>
    <w:p w:rsidR="00FD2792" w:rsidRPr="0015508F" w:rsidRDefault="002F0D7F" w:rsidP="0015508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5508F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附件：</w:t>
      </w:r>
    </w:p>
    <w:p w:rsidR="00FD2792" w:rsidRDefault="002F0D7F">
      <w:pPr>
        <w:pStyle w:val="a3"/>
        <w:widowControl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      </w:t>
      </w:r>
      <w:r>
        <w:rPr>
          <w:rFonts w:ascii="Arial" w:hAnsi="Arial" w:cs="Arial"/>
          <w:color w:val="0000CD"/>
          <w:sz w:val="27"/>
          <w:szCs w:val="27"/>
          <w:shd w:val="clear" w:color="auto" w:fill="FFFFFF"/>
        </w:rPr>
        <w:t> </w:t>
      </w:r>
      <w:hyperlink r:id="rId8" w:history="1"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1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、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2011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年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法治宣讲活动实施方案；</w:t>
        </w:r>
      </w:hyperlink>
    </w:p>
    <w:p w:rsidR="00FD2792" w:rsidRDefault="002F0D7F">
      <w:pPr>
        <w:pStyle w:val="a3"/>
        <w:widowControl/>
      </w:pPr>
      <w:r>
        <w:rPr>
          <w:rFonts w:ascii="Arial" w:hAnsi="Arial" w:cs="Arial"/>
          <w:color w:val="0000CD"/>
          <w:sz w:val="27"/>
          <w:szCs w:val="27"/>
          <w:shd w:val="clear" w:color="auto" w:fill="FFFFFF"/>
        </w:rPr>
        <w:t>        </w:t>
      </w:r>
      <w:hyperlink r:id="rId9" w:history="1"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2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、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法治宣讲活动组委会组成人员名单；</w:t>
        </w:r>
      </w:hyperlink>
    </w:p>
    <w:p w:rsidR="00FD2792" w:rsidRDefault="002F0D7F">
      <w:pPr>
        <w:pStyle w:val="a3"/>
        <w:widowControl/>
      </w:pPr>
      <w:r>
        <w:rPr>
          <w:rFonts w:ascii="Arial" w:hAnsi="Arial" w:cs="Arial"/>
          <w:color w:val="0000CD"/>
          <w:sz w:val="27"/>
          <w:szCs w:val="27"/>
          <w:shd w:val="clear" w:color="auto" w:fill="FFFFFF"/>
        </w:rPr>
        <w:t>        </w:t>
      </w:r>
      <w:hyperlink r:id="rId10" w:history="1"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3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、中央政法委员会副秘书长王其江同志在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2011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年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法治宣讲活动组委会（扩大）会议上的讲话；</w:t>
        </w:r>
      </w:hyperlink>
    </w:p>
    <w:p w:rsidR="00FD2792" w:rsidRDefault="002F0D7F">
      <w:pPr>
        <w:pStyle w:val="a3"/>
        <w:widowControl/>
      </w:pPr>
      <w:r>
        <w:rPr>
          <w:rFonts w:ascii="Arial" w:hAnsi="Arial" w:cs="Arial"/>
          <w:color w:val="0000CD"/>
          <w:sz w:val="27"/>
          <w:szCs w:val="27"/>
          <w:shd w:val="clear" w:color="auto" w:fill="FFFFFF"/>
        </w:rPr>
        <w:t>       </w:t>
      </w:r>
      <w:hyperlink r:id="rId11" w:history="1"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 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4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、中国法学会党组书记、常务副会长刘飏同志在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2011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年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sz w:val="27"/>
            <w:szCs w:val="27"/>
            <w:u w:val="none"/>
            <w:shd w:val="clear" w:color="auto" w:fill="FFFFFF"/>
          </w:rPr>
          <w:t>法治宣讲活动组委会（扩大）会议上的讲话。</w:t>
        </w:r>
      </w:hyperlink>
    </w:p>
    <w:p w:rsidR="00FD2792" w:rsidRDefault="00FD2792"/>
    <w:sectPr w:rsidR="00FD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AF" w:rsidRDefault="00E76EAF" w:rsidP="0015508F">
      <w:r>
        <w:separator/>
      </w:r>
    </w:p>
  </w:endnote>
  <w:endnote w:type="continuationSeparator" w:id="0">
    <w:p w:rsidR="00E76EAF" w:rsidRDefault="00E76EAF" w:rsidP="001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AF" w:rsidRDefault="00E76EAF" w:rsidP="0015508F">
      <w:r>
        <w:separator/>
      </w:r>
    </w:p>
  </w:footnote>
  <w:footnote w:type="continuationSeparator" w:id="0">
    <w:p w:rsidR="00E76EAF" w:rsidRDefault="00E76EAF" w:rsidP="0015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2"/>
    <w:rsid w:val="0015508F"/>
    <w:rsid w:val="002F0D7F"/>
    <w:rsid w:val="003D2BC8"/>
    <w:rsid w:val="004B0D44"/>
    <w:rsid w:val="00AD2D85"/>
    <w:rsid w:val="00E76EAF"/>
    <w:rsid w:val="00FD2792"/>
    <w:rsid w:val="08C04D7E"/>
    <w:rsid w:val="1BAB5CBB"/>
    <w:rsid w:val="2DAF422A"/>
    <w:rsid w:val="396C606A"/>
    <w:rsid w:val="482901BB"/>
    <w:rsid w:val="4E13159B"/>
    <w:rsid w:val="4FA124F9"/>
    <w:rsid w:val="50473F0F"/>
    <w:rsid w:val="5707733B"/>
    <w:rsid w:val="5D822331"/>
    <w:rsid w:val="5E7A69C2"/>
    <w:rsid w:val="619079C6"/>
    <w:rsid w:val="64844E50"/>
    <w:rsid w:val="65864C40"/>
    <w:rsid w:val="679A251C"/>
    <w:rsid w:val="6AAC614E"/>
    <w:rsid w:val="6B3B2E68"/>
    <w:rsid w:val="6E780AAE"/>
    <w:rsid w:val="7509125E"/>
    <w:rsid w:val="7D1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15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550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55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550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15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550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55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550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law.org.cn/Files/files/2-120H609361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nalaw.org.cn/Files/files/2-120H609413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inalaw.org.cn/Files/files/2-120H609405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nalaw.org.cn/Files/files/2-120H609400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dcterms:created xsi:type="dcterms:W3CDTF">2014-10-29T12:08:00Z</dcterms:created>
  <dcterms:modified xsi:type="dcterms:W3CDTF">2018-12-26T01:49:00Z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