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28" w:rsidRDefault="00607128" w:rsidP="00607128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/>
        </w:rPr>
      </w:pPr>
    </w:p>
    <w:p w:rsidR="00607128" w:rsidRDefault="000948E9" w:rsidP="00607128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/>
        </w:rPr>
      </w:pPr>
      <w:r w:rsidRPr="00607128"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 w:eastAsia="zh-TW"/>
        </w:rPr>
        <w:t>福建省“双百”活动组委会关于印发</w:t>
      </w:r>
    </w:p>
    <w:p w:rsidR="00293733" w:rsidRPr="00607128" w:rsidRDefault="000948E9" w:rsidP="00607128">
      <w:pPr>
        <w:pBdr>
          <w:top w:val="nil"/>
          <w:left w:val="nil"/>
          <w:bottom w:val="nil"/>
          <w:right w:val="nil"/>
          <w:between w:val="nil"/>
          <w:bar w:val="nil"/>
        </w:pBdr>
        <w:spacing w:line="600" w:lineRule="atLeast"/>
        <w:jc w:val="center"/>
        <w:rPr>
          <w:rFonts w:ascii="宋体" w:eastAsia="宋体" w:hAnsi="宋体" w:cs="宋体"/>
          <w:b/>
          <w:bCs/>
          <w:color w:val="000000"/>
          <w:sz w:val="44"/>
          <w:szCs w:val="44"/>
          <w:u w:color="000000"/>
          <w:bdr w:val="nil"/>
          <w:lang w:val="zh-TW" w:eastAsia="zh-TW"/>
        </w:rPr>
      </w:pPr>
      <w:r w:rsidRPr="00607128"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 w:eastAsia="zh-TW"/>
        </w:rPr>
        <w:t>《深入开展“百名法学家</w:t>
      </w:r>
      <w:r w:rsidRPr="00607128"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 w:eastAsia="zh-TW"/>
        </w:rPr>
        <w:t xml:space="preserve"> </w:t>
      </w:r>
      <w:r w:rsidRPr="00607128"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 w:eastAsia="zh-TW"/>
        </w:rPr>
        <w:t>百场报告会”法治宣讲活动的意见及</w:t>
      </w:r>
      <w:r w:rsidRPr="00607128"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 w:eastAsia="zh-TW"/>
        </w:rPr>
        <w:t>2013</w:t>
      </w:r>
      <w:r w:rsidRPr="00607128">
        <w:rPr>
          <w:rFonts w:ascii="宋体" w:eastAsia="宋体" w:hAnsi="宋体" w:cs="宋体" w:hint="eastAsia"/>
          <w:b/>
          <w:bCs/>
          <w:color w:val="000000"/>
          <w:sz w:val="44"/>
          <w:szCs w:val="44"/>
          <w:u w:color="000000"/>
          <w:bdr w:val="nil"/>
          <w:lang w:val="zh-TW" w:eastAsia="zh-TW"/>
        </w:rPr>
        <w:t>年活动安排》的通知</w:t>
      </w:r>
    </w:p>
    <w:p w:rsidR="00293733" w:rsidRDefault="00293733">
      <w:pPr>
        <w:pStyle w:val="1"/>
        <w:rPr>
          <w:rFonts w:hint="default"/>
        </w:rPr>
      </w:pP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各设区市党委组织部、宣传部、政法委、党工委，教育局、司法局、法学会，平潭综合实验区党群工作部、党委政法领导小组办公室：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为深入贯彻落实党的十八大</w:t>
      </w:r>
      <w:proofErr w:type="gramStart"/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作出</w:t>
      </w:r>
      <w:proofErr w:type="gramEnd"/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的全面推进依法治国的战略部署和习近平总书记关于建设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法治中国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的要求，进一步加强法制宣传工作，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6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月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21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日，福建省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百名法学家　百场报告会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法治宣讲活动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(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简称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双百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活动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)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组委会召开会议。会议传达了全国组委会会议精神，对今后一个时期及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2013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年我省开展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双百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法治宣讲活动等工作</w:t>
      </w:r>
      <w:proofErr w:type="gramStart"/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作</w:t>
      </w:r>
      <w:proofErr w:type="gramEnd"/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了研究安排。现将《深入开展福建省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百名法学家百场报告会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法治宣讲活动的意见及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2013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年活动安排》印发你们，请结合实际认真组织实施。各地开展活动的情况，请及时报送省组委会办公室。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lastRenderedPageBreak/>
        <w:t xml:space="preserve">　　附件：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1.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关于深入开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展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百名法学家百场报告会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法治宣传活动的意见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</w:t>
      </w:r>
      <w:r w:rsid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   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2.2013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年福建省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百名法学家百场报告会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法治宣讲活动安排</w:t>
      </w:r>
    </w:p>
    <w:p w:rsidR="00607128" w:rsidRDefault="000948E9">
      <w:pPr>
        <w:pStyle w:val="a3"/>
        <w:widowControl/>
        <w:jc w:val="right"/>
        <w:rPr>
          <w:rFonts w:ascii="仿宋_GB2312" w:eastAsia="仿宋_GB2312" w:hAnsi="仿宋" w:cs="Calibri" w:hint="eastAsia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</w:t>
      </w:r>
    </w:p>
    <w:p w:rsidR="00293733" w:rsidRPr="00607128" w:rsidRDefault="000948E9">
      <w:pPr>
        <w:pStyle w:val="a3"/>
        <w:widowControl/>
        <w:jc w:val="right"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中共福建省委省直机关工作委员会</w:t>
      </w:r>
    </w:p>
    <w:p w:rsidR="00293733" w:rsidRPr="00607128" w:rsidRDefault="000948E9">
      <w:pPr>
        <w:pStyle w:val="a3"/>
        <w:widowControl/>
        <w:jc w:val="right"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福建省教育厅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 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福建省司法厅</w:t>
      </w:r>
    </w:p>
    <w:p w:rsidR="00293733" w:rsidRPr="00607128" w:rsidRDefault="000948E9">
      <w:pPr>
        <w:pStyle w:val="a3"/>
        <w:widowControl/>
        <w:jc w:val="right"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福建省法学会</w:t>
      </w:r>
    </w:p>
    <w:p w:rsidR="00293733" w:rsidRPr="00607128" w:rsidRDefault="000948E9">
      <w:pPr>
        <w:pStyle w:val="a3"/>
        <w:widowControl/>
        <w:jc w:val="right"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2013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年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7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月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5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日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</w:t>
      </w:r>
      <w:r w:rsidRPr="00607128">
        <w:rPr>
          <w:rFonts w:ascii="仿宋_GB2312" w:eastAsia="仿宋_GB2312" w:hAnsi="仿宋" w:cs="Calibri"/>
          <w:b/>
          <w:color w:val="000000"/>
          <w:kern w:val="2"/>
          <w:sz w:val="32"/>
          <w:szCs w:val="32"/>
          <w:u w:color="000000"/>
          <w:bdr w:val="nil"/>
        </w:rPr>
        <w:t>附件</w:t>
      </w:r>
      <w:r w:rsidRPr="00607128">
        <w:rPr>
          <w:rFonts w:ascii="仿宋_GB2312" w:eastAsia="仿宋_GB2312" w:hAnsi="仿宋" w:cs="Calibri"/>
          <w:b/>
          <w:color w:val="000000"/>
          <w:kern w:val="2"/>
          <w:sz w:val="32"/>
          <w:szCs w:val="32"/>
          <w:u w:color="000000"/>
          <w:bdr w:val="nil"/>
        </w:rPr>
        <w:t>1</w:t>
      </w:r>
    </w:p>
    <w:p w:rsidR="00293733" w:rsidRPr="00607128" w:rsidRDefault="000948E9">
      <w:pPr>
        <w:pStyle w:val="a3"/>
        <w:widowControl/>
        <w:jc w:val="center"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</w:t>
      </w:r>
      <w:r w:rsidRPr="00607128">
        <w:rPr>
          <w:rFonts w:ascii="仿宋_GB2312" w:eastAsia="仿宋_GB2312" w:hAnsi="仿宋" w:cs="Calibri"/>
          <w:b/>
          <w:color w:val="000000"/>
          <w:kern w:val="2"/>
          <w:sz w:val="32"/>
          <w:szCs w:val="32"/>
          <w:u w:color="000000"/>
          <w:bdr w:val="nil"/>
        </w:rPr>
        <w:t>关于深入开展</w:t>
      </w:r>
      <w:r w:rsidRPr="00607128">
        <w:rPr>
          <w:rFonts w:ascii="仿宋_GB2312" w:eastAsia="仿宋_GB2312" w:hAnsi="仿宋" w:cs="Calibri"/>
          <w:b/>
          <w:color w:val="000000"/>
          <w:kern w:val="2"/>
          <w:sz w:val="32"/>
          <w:szCs w:val="32"/>
          <w:u w:color="000000"/>
          <w:bdr w:val="nil"/>
        </w:rPr>
        <w:t>“</w:t>
      </w:r>
      <w:r w:rsidRPr="00607128">
        <w:rPr>
          <w:rFonts w:ascii="仿宋_GB2312" w:eastAsia="仿宋_GB2312" w:hAnsi="仿宋" w:cs="Calibri"/>
          <w:b/>
          <w:color w:val="000000"/>
          <w:kern w:val="2"/>
          <w:sz w:val="32"/>
          <w:szCs w:val="32"/>
          <w:u w:color="000000"/>
          <w:bdr w:val="nil"/>
        </w:rPr>
        <w:t>百名法学家百场报告会</w:t>
      </w:r>
      <w:r w:rsidRPr="00607128">
        <w:rPr>
          <w:rFonts w:ascii="仿宋_GB2312" w:eastAsia="仿宋_GB2312" w:hAnsi="仿宋" w:cs="Calibri"/>
          <w:b/>
          <w:color w:val="000000"/>
          <w:kern w:val="2"/>
          <w:sz w:val="32"/>
          <w:szCs w:val="32"/>
          <w:u w:color="000000"/>
          <w:bdr w:val="nil"/>
        </w:rPr>
        <w:t>”</w:t>
      </w:r>
      <w:r w:rsidRPr="00607128">
        <w:rPr>
          <w:rFonts w:ascii="仿宋_GB2312" w:eastAsia="仿宋_GB2312" w:hAnsi="仿宋" w:cs="Calibri"/>
          <w:b/>
          <w:color w:val="000000"/>
          <w:kern w:val="2"/>
          <w:sz w:val="32"/>
          <w:szCs w:val="32"/>
          <w:u w:color="000000"/>
          <w:bdr w:val="nil"/>
        </w:rPr>
        <w:t>法治宣传活动的意见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为深入贯彻落实党的十八大关于全面推进依法治国的战略部署，进一步加强法制宣传工作，根据中央组织部、中央宣传部、中央政法委和教育部、司法部、中国法学会关于开展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百名法学家百场报告会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法治宣讲活动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(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以下简称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双百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活动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)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的有关要求，结合我省实际，特提出以下意见。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lastRenderedPageBreak/>
        <w:t xml:space="preserve">　　</w:t>
      </w:r>
      <w:r w:rsidRPr="00607128">
        <w:rPr>
          <w:rFonts w:ascii="仿宋_GB2312" w:eastAsia="仿宋_GB2312" w:hAnsi="仿宋" w:cs="Calibri"/>
          <w:b/>
          <w:color w:val="000000"/>
          <w:kern w:val="2"/>
          <w:sz w:val="32"/>
          <w:szCs w:val="32"/>
          <w:u w:color="000000"/>
          <w:bdr w:val="nil"/>
        </w:rPr>
        <w:t>一、指导思想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以党的十八大精神为指导，围绕全面落实依法治国基本方略、加快建设社会主义法治国家的战略部署和目标要求，结合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法治福建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、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平安福建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建设实践，在认真总结我省以往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双百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活动经验做法基础上，改进和创新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双百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常态化工作机制，增强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双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百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法治宣传的针对性和实效性，不断提高领导干部运用法治思维和法治方式的能力，提高广大干部群众遵规守法自觉性，提高法学研究成果应用转化水平，培育社会主义法治文化，大力弘扬法治精神，为我省科学发展、跨越发展营造良好的法治环境。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</w:t>
      </w:r>
      <w:r w:rsidRPr="00607128">
        <w:rPr>
          <w:rFonts w:ascii="仿宋_GB2312" w:eastAsia="仿宋_GB2312" w:hAnsi="仿宋" w:cs="Calibri"/>
          <w:b/>
          <w:color w:val="000000"/>
          <w:kern w:val="2"/>
          <w:sz w:val="32"/>
          <w:szCs w:val="32"/>
          <w:u w:color="000000"/>
          <w:bdr w:val="nil"/>
        </w:rPr>
        <w:t>二、组织领导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为进一步加强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双百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活动的组织领导，参照全国组委会的组织架构，结合我省的实际，由省委组织部、省委宣传部、省委政法委、省直党工委、省教育厅、省司法厅、省法学会等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7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个单位共同组成省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双百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活动组委会，组委会办公室设在省法学会。成员名单如下：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</w:t>
      </w:r>
      <w:r w:rsidRPr="00607128">
        <w:rPr>
          <w:rFonts w:ascii="仿宋_GB2312" w:eastAsia="仿宋_GB2312" w:hAnsi="仿宋" w:cs="Calibri"/>
          <w:b/>
          <w:color w:val="000000"/>
          <w:kern w:val="2"/>
          <w:sz w:val="32"/>
          <w:szCs w:val="32"/>
          <w:u w:color="000000"/>
          <w:bdr w:val="nil"/>
        </w:rPr>
        <w:t>主</w:t>
      </w:r>
      <w:r w:rsidRPr="00607128">
        <w:rPr>
          <w:rFonts w:ascii="仿宋_GB2312" w:eastAsia="仿宋_GB2312" w:hAnsi="仿宋" w:cs="Calibri"/>
          <w:b/>
          <w:color w:val="000000"/>
          <w:kern w:val="2"/>
          <w:sz w:val="32"/>
          <w:szCs w:val="32"/>
          <w:u w:color="000000"/>
          <w:bdr w:val="nil"/>
        </w:rPr>
        <w:t xml:space="preserve"> </w:t>
      </w:r>
      <w:r w:rsidRPr="00607128">
        <w:rPr>
          <w:rFonts w:ascii="仿宋_GB2312" w:eastAsia="仿宋_GB2312" w:hAnsi="仿宋" w:cs="Calibri"/>
          <w:b/>
          <w:color w:val="000000"/>
          <w:kern w:val="2"/>
          <w:sz w:val="32"/>
          <w:szCs w:val="32"/>
          <w:u w:color="000000"/>
          <w:bdr w:val="nil"/>
        </w:rPr>
        <w:t>任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苏增添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 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省委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常委、政法委书记，省法学会会长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</w:t>
      </w:r>
      <w:r w:rsidRPr="00607128">
        <w:rPr>
          <w:rFonts w:ascii="仿宋_GB2312" w:eastAsia="仿宋_GB2312" w:hAnsi="仿宋" w:cs="Calibri"/>
          <w:b/>
          <w:color w:val="000000"/>
          <w:kern w:val="2"/>
          <w:sz w:val="32"/>
          <w:szCs w:val="32"/>
          <w:u w:color="000000"/>
          <w:bdr w:val="nil"/>
        </w:rPr>
        <w:t xml:space="preserve">　常务副主任：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lastRenderedPageBreak/>
        <w:t xml:space="preserve">　　</w:t>
      </w:r>
      <w:proofErr w:type="gramStart"/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李晋闽</w:t>
      </w:r>
      <w:proofErr w:type="gramEnd"/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 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省委政法委常务副书记、省综治办常务副主任，省法学会常务副会长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</w:t>
      </w:r>
      <w:r w:rsidRPr="00607128">
        <w:rPr>
          <w:rFonts w:ascii="仿宋_GB2312" w:eastAsia="仿宋_GB2312" w:hAnsi="仿宋" w:cs="Calibri"/>
          <w:b/>
          <w:color w:val="000000"/>
          <w:kern w:val="2"/>
          <w:sz w:val="32"/>
          <w:szCs w:val="32"/>
          <w:u w:color="000000"/>
          <w:bdr w:val="nil"/>
        </w:rPr>
        <w:t>副主任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杨国豪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 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省委组织部副部长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张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 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萍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 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省委宣传部副部长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</w:t>
      </w:r>
      <w:proofErr w:type="gramStart"/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夏善国</w:t>
      </w:r>
      <w:proofErr w:type="gramEnd"/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 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省直机关工委副书记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张程远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 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省教育厅副厅长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肖新建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 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省司法厅副厅长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张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 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琦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 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省法学会专职副会长、秘书长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</w:t>
      </w:r>
      <w:r w:rsidRPr="00607128">
        <w:rPr>
          <w:rFonts w:ascii="仿宋_GB2312" w:eastAsia="仿宋_GB2312" w:hAnsi="仿宋" w:cs="Calibri"/>
          <w:b/>
          <w:color w:val="000000"/>
          <w:kern w:val="2"/>
          <w:sz w:val="32"/>
          <w:szCs w:val="32"/>
          <w:u w:color="000000"/>
          <w:bdr w:val="nil"/>
        </w:rPr>
        <w:t>成</w:t>
      </w:r>
      <w:r w:rsidRPr="00607128">
        <w:rPr>
          <w:rFonts w:ascii="仿宋_GB2312" w:eastAsia="仿宋_GB2312" w:hAnsi="仿宋" w:cs="Calibri"/>
          <w:b/>
          <w:color w:val="000000"/>
          <w:kern w:val="2"/>
          <w:sz w:val="32"/>
          <w:szCs w:val="32"/>
          <w:u w:color="000000"/>
          <w:bdr w:val="nil"/>
        </w:rPr>
        <w:t xml:space="preserve"> </w:t>
      </w:r>
      <w:r w:rsidRPr="00607128">
        <w:rPr>
          <w:rFonts w:ascii="仿宋_GB2312" w:eastAsia="仿宋_GB2312" w:hAnsi="仿宋" w:cs="Calibri"/>
          <w:b/>
          <w:color w:val="000000"/>
          <w:kern w:val="2"/>
          <w:sz w:val="32"/>
          <w:szCs w:val="32"/>
          <w:u w:color="000000"/>
          <w:bdr w:val="nil"/>
        </w:rPr>
        <w:t>员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吴金喜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 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省委组织部干部培训中心主任、干教处副处长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缪建萍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 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省委宣传部宣教处处长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赵玉明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 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省委政法委政宣处调研员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王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 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星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 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省直机关工委宣传部副部长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林文平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 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省教育厅法规处副处长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吴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 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鸣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 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省司法</w:t>
      </w:r>
      <w:proofErr w:type="gramStart"/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厅法制</w:t>
      </w:r>
      <w:proofErr w:type="gramEnd"/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宣传处处长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lastRenderedPageBreak/>
        <w:t xml:space="preserve">　　宋跃岚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 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省法学会办公室主任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雷玉环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 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省法学会办公室副主任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</w:t>
      </w:r>
      <w:r w:rsidRPr="00607128">
        <w:rPr>
          <w:rFonts w:ascii="仿宋_GB2312" w:eastAsia="仿宋_GB2312" w:hAnsi="仿宋" w:cs="Calibri"/>
          <w:b/>
          <w:color w:val="000000"/>
          <w:kern w:val="2"/>
          <w:sz w:val="32"/>
          <w:szCs w:val="32"/>
          <w:u w:color="000000"/>
          <w:bdr w:val="nil"/>
        </w:rPr>
        <w:t xml:space="preserve">　组委会办公室主任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 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张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 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琦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(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兼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)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为加强对各地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双百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活动的指导，建立省组委会成员单位挂钩联系设区市制度，由省委组织部挂钩联系福州市，省委宣传部挂钩联系厦门市，省委政法委挂钩联系漳州市，省直机关工委挂钩联系泉州市，省教育厅挂钩联系莆田市，省司法厅挂钩联系三明市、龙岩市，省法学会挂钩联系南平市、宁德市。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</w:t>
      </w:r>
      <w:r w:rsidRPr="00607128">
        <w:rPr>
          <w:rFonts w:ascii="仿宋_GB2312" w:eastAsia="仿宋_GB2312" w:hAnsi="仿宋" w:cs="Calibri"/>
          <w:b/>
          <w:color w:val="000000"/>
          <w:kern w:val="2"/>
          <w:sz w:val="32"/>
          <w:szCs w:val="32"/>
          <w:u w:color="000000"/>
          <w:bdr w:val="nil"/>
        </w:rPr>
        <w:t>三、组织方式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从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2013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年开始，我省新一轮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双百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法治宣传活动常态化的总体设想是：统一规划、整体推进，拓展形式、扩大效应。统一规划，即省组委会按照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双百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活动常态化的要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求和全国组委会的年度安排，统一制定全省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双百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活动计划。设区市组委会按照省组委会的要求，结合各地实际，制定市直及所属县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(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市、区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)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双百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活动的具体安排方案，对年度宣讲的题目、对象、场次、时间等，</w:t>
      </w:r>
      <w:proofErr w:type="gramStart"/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作出</w:t>
      </w:r>
      <w:proofErr w:type="gramEnd"/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具体安排，并组织实施。整体推进，即要把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双百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’’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活动列入各级党委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(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党组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)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理论学习中心组年度学习计划、列入各级党政机关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lastRenderedPageBreak/>
        <w:t>的年度政治学习计划，以及党校、高校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的教学计划。各市、县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(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区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)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要结合当地实际，组织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双百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活动进机关、进乡村、进社区、进学校、进企业、进单位，并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深入到一般百姓中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。拓展形式，既要采取大型报告会的传统形式，又要在创新宣传形式上下功夫。一些重要专题报告会可利用视频等现代媒体手段，进行现场直播并组织收听收看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;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对于法治建设中的重大理论与实践问题，可组织报告人与有关人员，采取研讨会、座谈会等形式，进行研讨互动，努力提高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双百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活动的针对性。扩大效应，即要在提高宣传实效上下功夫，紧紧围绕各地法治实践亟待解决的热点、难点问题，提炼深化宣讲主题，增强全社会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的法治理念和法律意识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;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同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时，积极组织报纸、电台、电视台、网络媒体加大对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双百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活动的宣传报道，扩大宣传活动的覆盖面和影响力，带动当地法治宣传活动的深入开展。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</w:t>
      </w:r>
      <w:r w:rsidRPr="00607128">
        <w:rPr>
          <w:rFonts w:ascii="仿宋_GB2312" w:eastAsia="仿宋_GB2312" w:hAnsi="仿宋" w:cs="Calibri"/>
          <w:b/>
          <w:color w:val="000000"/>
          <w:kern w:val="2"/>
          <w:sz w:val="32"/>
          <w:szCs w:val="32"/>
          <w:u w:color="000000"/>
          <w:bdr w:val="nil"/>
        </w:rPr>
        <w:t>四、组织要求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1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、组委会各成员单位要率先垂范，带头组织本系统、本单位开展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双百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活动。省、设区市组委会每年主办报告会不少于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2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场。各设区市要结合当地实际，在县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(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市、区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)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开展形式多样法治宣传活动。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2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、组委会各成员单位要认真履行职责。政法委负责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双百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活动的牵头组织工作，主持召开组委会会议，协调安排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lastRenderedPageBreak/>
        <w:t>相关工作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;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组织部负责协调落实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双百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活动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进党校活</w:t>
      </w:r>
      <w:bookmarkStart w:id="0" w:name="_GoBack"/>
      <w:bookmarkEnd w:id="0"/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动，协调领导干部参加相关报告会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;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宣传部负责协调将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双百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报告会列入党委理论学习中心组学习计划，组织新闻媒体宣传报道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;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党工委负责将开展法治宣传活动、推进党员干部学法守法，作为机关党建工作的重要内容，并协调大型报告会的组织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;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教育部门负责做好本系统报告会的规划与组织，把法治宣传教育列入各级学校的教学计划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;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司法行政部门负责将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双百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活动列入六五普法规划目标任务分解项目，并加强督促考评。同时负责大型报告会的录音、录像、制作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DVD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光盘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;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法学会负责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双百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活动年度计划的制订，确定或推荐、协调报告人，做好组委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会办公室具体工作。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3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、组委会各成员单位要加强对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双百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活动的指导，密切协调，落实成员单位挂钩联系设区市制度，保证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双百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常态化工作的落实。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</w:t>
      </w:r>
      <w:r w:rsidRPr="00607128">
        <w:rPr>
          <w:rFonts w:ascii="仿宋_GB2312" w:eastAsia="仿宋_GB2312" w:hAnsi="仿宋" w:cs="Calibri"/>
          <w:b/>
          <w:color w:val="000000"/>
          <w:kern w:val="2"/>
          <w:sz w:val="32"/>
          <w:szCs w:val="32"/>
          <w:u w:color="000000"/>
          <w:bdr w:val="nil"/>
        </w:rPr>
        <w:t>附件</w:t>
      </w:r>
      <w:r w:rsidRPr="00607128">
        <w:rPr>
          <w:rFonts w:ascii="仿宋_GB2312" w:eastAsia="仿宋_GB2312" w:hAnsi="仿宋" w:cs="Calibri"/>
          <w:b/>
          <w:color w:val="000000"/>
          <w:kern w:val="2"/>
          <w:sz w:val="32"/>
          <w:szCs w:val="32"/>
          <w:u w:color="000000"/>
          <w:bdr w:val="nil"/>
        </w:rPr>
        <w:t>2</w:t>
      </w:r>
    </w:p>
    <w:p w:rsidR="00293733" w:rsidRPr="00607128" w:rsidRDefault="000948E9">
      <w:pPr>
        <w:pStyle w:val="a3"/>
        <w:widowControl/>
        <w:jc w:val="center"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</w:t>
      </w:r>
      <w:r w:rsidRPr="00607128">
        <w:rPr>
          <w:rFonts w:ascii="仿宋_GB2312" w:eastAsia="仿宋_GB2312" w:hAnsi="仿宋" w:cs="Calibri"/>
          <w:b/>
          <w:color w:val="000000"/>
          <w:kern w:val="2"/>
          <w:sz w:val="32"/>
          <w:szCs w:val="32"/>
          <w:u w:color="000000"/>
          <w:bdr w:val="nil"/>
        </w:rPr>
        <w:t>2013</w:t>
      </w:r>
      <w:r w:rsidRPr="00607128">
        <w:rPr>
          <w:rFonts w:ascii="仿宋_GB2312" w:eastAsia="仿宋_GB2312" w:hAnsi="仿宋" w:cs="Calibri"/>
          <w:b/>
          <w:color w:val="000000"/>
          <w:kern w:val="2"/>
          <w:sz w:val="32"/>
          <w:szCs w:val="32"/>
          <w:u w:color="000000"/>
          <w:bdr w:val="nil"/>
        </w:rPr>
        <w:t>年福建省</w:t>
      </w:r>
      <w:r w:rsidRPr="00607128">
        <w:rPr>
          <w:rFonts w:ascii="仿宋_GB2312" w:eastAsia="仿宋_GB2312" w:hAnsi="仿宋" w:cs="Calibri"/>
          <w:b/>
          <w:color w:val="000000"/>
          <w:kern w:val="2"/>
          <w:sz w:val="32"/>
          <w:szCs w:val="32"/>
          <w:u w:color="000000"/>
          <w:bdr w:val="nil"/>
        </w:rPr>
        <w:t>“</w:t>
      </w:r>
      <w:r w:rsidRPr="00607128">
        <w:rPr>
          <w:rFonts w:ascii="仿宋_GB2312" w:eastAsia="仿宋_GB2312" w:hAnsi="仿宋" w:cs="Calibri"/>
          <w:b/>
          <w:color w:val="000000"/>
          <w:kern w:val="2"/>
          <w:sz w:val="32"/>
          <w:szCs w:val="32"/>
          <w:u w:color="000000"/>
          <w:bdr w:val="nil"/>
        </w:rPr>
        <w:t>百名法学家百场报告会</w:t>
      </w:r>
      <w:r w:rsidRPr="00607128">
        <w:rPr>
          <w:rFonts w:ascii="仿宋_GB2312" w:eastAsia="仿宋_GB2312" w:hAnsi="仿宋" w:cs="Calibri"/>
          <w:b/>
          <w:color w:val="000000"/>
          <w:kern w:val="2"/>
          <w:sz w:val="32"/>
          <w:szCs w:val="32"/>
          <w:u w:color="000000"/>
          <w:bdr w:val="nil"/>
        </w:rPr>
        <w:t>”</w:t>
      </w:r>
      <w:r w:rsidRPr="00607128">
        <w:rPr>
          <w:rFonts w:ascii="仿宋_GB2312" w:eastAsia="仿宋_GB2312" w:hAnsi="仿宋" w:cs="Calibri"/>
          <w:b/>
          <w:color w:val="000000"/>
          <w:kern w:val="2"/>
          <w:sz w:val="32"/>
          <w:szCs w:val="32"/>
          <w:u w:color="000000"/>
          <w:bdr w:val="nil"/>
        </w:rPr>
        <w:t>法治宣讲活动安排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根据我省深入开展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百名法学家百场报告会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法治宣讲活动意见要求，现将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2013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年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双百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活动作如下安排。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</w:t>
      </w:r>
      <w:r w:rsidRPr="00607128">
        <w:rPr>
          <w:rFonts w:ascii="仿宋_GB2312" w:eastAsia="仿宋_GB2312" w:hAnsi="仿宋" w:cs="Calibri"/>
          <w:b/>
          <w:color w:val="000000"/>
          <w:kern w:val="2"/>
          <w:sz w:val="32"/>
          <w:szCs w:val="32"/>
          <w:u w:color="000000"/>
          <w:bdr w:val="nil"/>
        </w:rPr>
        <w:t>一、宣讲主题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lastRenderedPageBreak/>
        <w:t xml:space="preserve">　　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1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、法治中国、法治福建的理论与实践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;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2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、中国特色社会主义法治发展道路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;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3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、领导干部的法治思维和法治方式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;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4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、中国特色社会主义法律体系及其实施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;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5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、社会管理方式创新及其法治保障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;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6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、深化市场经济改革和法治保障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;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7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、经济发展与环境保护的法律问题。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(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以上题目仅供参考，各地可结合实际自拟讲题。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)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</w:t>
      </w:r>
      <w:r w:rsidRPr="00607128">
        <w:rPr>
          <w:rFonts w:ascii="仿宋_GB2312" w:eastAsia="仿宋_GB2312" w:hAnsi="仿宋" w:cs="Calibri"/>
          <w:b/>
          <w:color w:val="000000"/>
          <w:kern w:val="2"/>
          <w:sz w:val="32"/>
          <w:szCs w:val="32"/>
          <w:u w:color="000000"/>
          <w:bdr w:val="nil"/>
        </w:rPr>
        <w:t>二、具体安排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按照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统一规划、整体推进，拓展形式、扩大效应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的总体要求，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2013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年由省组委会组织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3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场报告会：一是省委理论学习中心组学习专场，建议于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7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月底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8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月初举办，参加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对象为省四套</w:t>
      </w:r>
      <w:proofErr w:type="gramStart"/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班子副</w:t>
      </w:r>
      <w:proofErr w:type="gramEnd"/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省级以上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(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含副省级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)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领导，由宣传部负责协调。建议宣讲主题为：法治中国、法治福建与领导干部运用法治思维与法治方式的能力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(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暂定名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)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，报告人拟请中央党校报刊社副总编辑卓泽渊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;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二是省直机关领导干部专场。宣讲主题是：法治思维与法治方式的运用，报告人拟请中央党校报刊社副总编辑卓泽渊。听课对象为省直各单位副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lastRenderedPageBreak/>
        <w:t>厅级以上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(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含副厅级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)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领导干部，会场设在福建会堂举办，由党工委负责组织协调工作，时间可与省委理论学习中心组学习专场相衔接。一、二场报告会也可以合并举行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(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除省领导外，扩大到省直各部、委、办、厅主要负责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人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);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三是省委党校专场，拟于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9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月秋季开学后举办。宣讲主题是：地方法治建设的理论与实践问题，报告人拟请中国政法大学校长黄进，听课对象为省委党校在校各班次学员等，由组织部负责协调省委党校。此外，省组委会各成员单位要结合本系统情况，自行安排一场法治教育方面的宣讲活动。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按照新一轮常态化的工作要求，各设区市组委会本年度内也要主办至少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2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场报告会，要以党委理论学习中心组、党政机关、政法部门、党校以及高等院校为重点，落实设区市党委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(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党组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)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、县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(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市、区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)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党委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(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党组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)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学习中心组年内安排不少于一次法治内容的学习，指导、督促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县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(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市、区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)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开展法治宣传教育进基层活动。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</w:t>
      </w:r>
      <w:r w:rsidRPr="00607128">
        <w:rPr>
          <w:rFonts w:ascii="仿宋_GB2312" w:eastAsia="仿宋_GB2312" w:hAnsi="仿宋" w:cs="Calibri"/>
          <w:b/>
          <w:color w:val="000000"/>
          <w:kern w:val="2"/>
          <w:sz w:val="32"/>
          <w:szCs w:val="32"/>
          <w:u w:color="000000"/>
          <w:bdr w:val="nil"/>
        </w:rPr>
        <w:t>三、有关要求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1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、要增强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双百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”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活动针对性和实效性。要根据宣讲对象的不同层次和需求，选好宣讲人员，选准宣讲主题，积极创新宣讲形式，除采取报告会形式外，还可以结合采用座谈讨论、研讨互动等形式进行。重要专题报告会可利用视频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lastRenderedPageBreak/>
        <w:t>等现代媒体手段，进行现场直播并组织收听收看，扩大受众面，提高社会效益。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2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、要加大对活动的宣传报道力度。积极组织报纸、电台、电视台、网络媒体加大对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“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双百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’’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活动的宣传报道，扩大宣传活动的覆盖面和影响力，带动当地法治宣传活动的深入开展。</w:t>
      </w:r>
    </w:p>
    <w:p w:rsidR="00293733" w:rsidRPr="00607128" w:rsidRDefault="000948E9">
      <w:pPr>
        <w:pStyle w:val="a3"/>
        <w:widowControl/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</w:pP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 xml:space="preserve">　　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3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、按照全国组委会要求，全省活动于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10</w:t>
      </w:r>
      <w:r w:rsidRPr="00607128">
        <w:rPr>
          <w:rFonts w:ascii="仿宋_GB2312" w:eastAsia="仿宋_GB2312" w:hAnsi="仿宋" w:cs="Calibri"/>
          <w:color w:val="000000"/>
          <w:kern w:val="2"/>
          <w:sz w:val="32"/>
          <w:szCs w:val="32"/>
          <w:u w:color="000000"/>
          <w:bdr w:val="nil"/>
        </w:rPr>
        <w:t>月中旬前完成。</w:t>
      </w:r>
    </w:p>
    <w:p w:rsidR="00293733" w:rsidRPr="00607128" w:rsidRDefault="00293733">
      <w:pPr>
        <w:rPr>
          <w:rFonts w:ascii="仿宋_GB2312" w:eastAsia="仿宋_GB2312" w:hAnsi="仿宋" w:cs="Calibri"/>
          <w:color w:val="000000"/>
          <w:sz w:val="32"/>
          <w:szCs w:val="32"/>
          <w:u w:color="000000"/>
          <w:bdr w:val="nil"/>
        </w:rPr>
      </w:pPr>
    </w:p>
    <w:sectPr w:rsidR="00293733" w:rsidRPr="00607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8E9" w:rsidRDefault="000948E9" w:rsidP="00607128">
      <w:r>
        <w:separator/>
      </w:r>
    </w:p>
  </w:endnote>
  <w:endnote w:type="continuationSeparator" w:id="0">
    <w:p w:rsidR="000948E9" w:rsidRDefault="000948E9" w:rsidP="00607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8E9" w:rsidRDefault="000948E9" w:rsidP="00607128">
      <w:r>
        <w:separator/>
      </w:r>
    </w:p>
  </w:footnote>
  <w:footnote w:type="continuationSeparator" w:id="0">
    <w:p w:rsidR="000948E9" w:rsidRDefault="000948E9" w:rsidP="00607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33"/>
    <w:rsid w:val="000948E9"/>
    <w:rsid w:val="00293733"/>
    <w:rsid w:val="003D2BC8"/>
    <w:rsid w:val="00607128"/>
    <w:rsid w:val="08C04D7E"/>
    <w:rsid w:val="2DAF422A"/>
    <w:rsid w:val="396C606A"/>
    <w:rsid w:val="482901BB"/>
    <w:rsid w:val="4E13159B"/>
    <w:rsid w:val="4FA124F9"/>
    <w:rsid w:val="50473F0F"/>
    <w:rsid w:val="5707733B"/>
    <w:rsid w:val="5D822331"/>
    <w:rsid w:val="619079C6"/>
    <w:rsid w:val="65864C40"/>
    <w:rsid w:val="679A251C"/>
    <w:rsid w:val="6B3B2E68"/>
    <w:rsid w:val="6E780AAE"/>
    <w:rsid w:val="7D13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607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0712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07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0712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607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0712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071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0712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10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xinxibu</cp:lastModifiedBy>
  <cp:revision>2</cp:revision>
  <dcterms:created xsi:type="dcterms:W3CDTF">2014-10-29T12:08:00Z</dcterms:created>
  <dcterms:modified xsi:type="dcterms:W3CDTF">2018-12-24T07:22:00Z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