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02" w:rsidRDefault="00916ED0" w:rsidP="007E1802">
      <w:pPr>
        <w:pBdr>
          <w:top w:val="nil"/>
          <w:left w:val="nil"/>
          <w:bottom w:val="nil"/>
          <w:right w:val="nil"/>
          <w:between w:val="nil"/>
          <w:bar w:val="nil"/>
        </w:pBdr>
        <w:spacing w:line="600" w:lineRule="atLeast"/>
        <w:jc w:val="center"/>
        <w:rPr>
          <w:rStyle w:val="a4"/>
          <w:rFonts w:ascii="Arial" w:hAnsi="Arial" w:cs="Arial" w:hint="eastAsia"/>
          <w:color w:val="333333"/>
          <w:sz w:val="33"/>
          <w:szCs w:val="33"/>
          <w:shd w:val="clear" w:color="auto" w:fill="FFFFFF"/>
        </w:rPr>
      </w:pPr>
      <w:r>
        <w:rPr>
          <w:rStyle w:val="a4"/>
          <w:rFonts w:ascii="Arial" w:hAnsi="Arial" w:cs="Arial"/>
          <w:color w:val="333333"/>
          <w:sz w:val="33"/>
          <w:szCs w:val="33"/>
          <w:shd w:val="clear" w:color="auto" w:fill="FFFFFF"/>
        </w:rPr>
        <w:t xml:space="preserve">　</w:t>
      </w:r>
    </w:p>
    <w:p w:rsidR="007E1802" w:rsidRDefault="00916ED0" w:rsidP="007E1802">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7E1802">
        <w:rPr>
          <w:rFonts w:ascii="宋体" w:eastAsia="宋体" w:hAnsi="宋体" w:cs="宋体"/>
          <w:b/>
          <w:bCs/>
          <w:color w:val="000000"/>
          <w:sz w:val="44"/>
          <w:szCs w:val="44"/>
          <w:u w:color="000000"/>
          <w:bdr w:val="nil"/>
          <w:lang w:val="zh-TW" w:eastAsia="zh-TW"/>
        </w:rPr>
        <w:t>2014</w:t>
      </w:r>
      <w:r w:rsidRPr="007E1802">
        <w:rPr>
          <w:rFonts w:ascii="宋体" w:eastAsia="宋体" w:hAnsi="宋体" w:cs="宋体"/>
          <w:b/>
          <w:bCs/>
          <w:color w:val="000000"/>
          <w:sz w:val="44"/>
          <w:szCs w:val="44"/>
          <w:u w:color="000000"/>
          <w:bdr w:val="nil"/>
          <w:lang w:val="zh-TW" w:eastAsia="zh-TW"/>
        </w:rPr>
        <w:t>年</w:t>
      </w:r>
      <w:r w:rsidRPr="007E1802">
        <w:rPr>
          <w:rFonts w:ascii="宋体" w:eastAsia="宋体" w:hAnsi="宋体" w:cs="宋体"/>
          <w:b/>
          <w:bCs/>
          <w:color w:val="000000"/>
          <w:sz w:val="44"/>
          <w:szCs w:val="44"/>
          <w:u w:color="000000"/>
          <w:bdr w:val="nil"/>
          <w:lang w:val="zh-TW" w:eastAsia="zh-TW"/>
        </w:rPr>
        <w:t>“</w:t>
      </w:r>
      <w:r w:rsidRPr="007E1802">
        <w:rPr>
          <w:rFonts w:ascii="宋体" w:eastAsia="宋体" w:hAnsi="宋体" w:cs="宋体"/>
          <w:b/>
          <w:bCs/>
          <w:color w:val="000000"/>
          <w:sz w:val="44"/>
          <w:szCs w:val="44"/>
          <w:u w:color="000000"/>
          <w:bdr w:val="nil"/>
          <w:lang w:val="zh-TW" w:eastAsia="zh-TW"/>
        </w:rPr>
        <w:t>百名法学家百场报告会</w:t>
      </w:r>
      <w:r w:rsidRPr="007E1802">
        <w:rPr>
          <w:rFonts w:ascii="宋体" w:eastAsia="宋体" w:hAnsi="宋体" w:cs="宋体"/>
          <w:b/>
          <w:bCs/>
          <w:color w:val="000000"/>
          <w:sz w:val="44"/>
          <w:szCs w:val="44"/>
          <w:u w:color="000000"/>
          <w:bdr w:val="nil"/>
          <w:lang w:val="zh-TW" w:eastAsia="zh-TW"/>
        </w:rPr>
        <w:t>”</w:t>
      </w:r>
    </w:p>
    <w:p w:rsidR="00777A7F" w:rsidRDefault="00916ED0" w:rsidP="007E1802">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r w:rsidRPr="007E1802">
        <w:rPr>
          <w:rFonts w:ascii="宋体" w:eastAsia="宋体" w:hAnsi="宋体" w:cs="宋体"/>
          <w:b/>
          <w:bCs/>
          <w:color w:val="000000"/>
          <w:sz w:val="44"/>
          <w:szCs w:val="44"/>
          <w:u w:color="000000"/>
          <w:bdr w:val="nil"/>
          <w:lang w:val="zh-TW" w:eastAsia="zh-TW"/>
        </w:rPr>
        <w:t>法治宣讲活动情况通报</w:t>
      </w:r>
    </w:p>
    <w:p w:rsidR="007E1802" w:rsidRPr="007E1802" w:rsidRDefault="007E1802" w:rsidP="007E1802">
      <w:pPr>
        <w:pBdr>
          <w:top w:val="nil"/>
          <w:left w:val="nil"/>
          <w:bottom w:val="nil"/>
          <w:right w:val="nil"/>
          <w:between w:val="nil"/>
          <w:bar w:val="nil"/>
        </w:pBdr>
        <w:spacing w:line="600" w:lineRule="atLeast"/>
        <w:jc w:val="center"/>
        <w:rPr>
          <w:rFonts w:ascii="宋体" w:eastAsia="宋体" w:hAnsi="宋体" w:cs="宋体" w:hint="eastAsia"/>
          <w:b/>
          <w:bCs/>
          <w:color w:val="000000"/>
          <w:sz w:val="44"/>
          <w:szCs w:val="44"/>
          <w:u w:color="000000"/>
          <w:bdr w:val="nil"/>
          <w:lang w:val="zh-TW"/>
        </w:rPr>
      </w:pPr>
    </w:p>
    <w:p w:rsidR="00777A7F" w:rsidRDefault="00916ED0" w:rsidP="007E1802">
      <w:pPr>
        <w:pStyle w:val="a3"/>
        <w:widowControl/>
        <w:ind w:firstLine="510"/>
        <w:jc w:val="center"/>
        <w:rPr>
          <w:rStyle w:val="a4"/>
          <w:rFonts w:ascii="Arial" w:hAnsi="Arial" w:cs="Arial" w:hint="eastAsia"/>
          <w:color w:val="333333"/>
          <w:shd w:val="clear" w:color="auto" w:fill="FFFFFF"/>
        </w:rPr>
      </w:pPr>
      <w:r>
        <w:rPr>
          <w:rStyle w:val="a4"/>
          <w:rFonts w:ascii="Arial" w:hAnsi="Arial" w:cs="Arial"/>
          <w:color w:val="333333"/>
          <w:shd w:val="clear" w:color="auto" w:fill="FFFFFF"/>
        </w:rPr>
        <w:t>第</w:t>
      </w:r>
      <w:r>
        <w:rPr>
          <w:rStyle w:val="a4"/>
          <w:rFonts w:ascii="Arial" w:hAnsi="Arial" w:cs="Arial"/>
          <w:color w:val="333333"/>
          <w:shd w:val="clear" w:color="auto" w:fill="FFFFFF"/>
        </w:rPr>
        <w:t>1</w:t>
      </w:r>
      <w:r>
        <w:rPr>
          <w:rStyle w:val="a4"/>
          <w:rFonts w:ascii="Arial" w:hAnsi="Arial" w:cs="Arial"/>
          <w:color w:val="333333"/>
          <w:shd w:val="clear" w:color="auto" w:fill="FFFFFF"/>
        </w:rPr>
        <w:t>期</w:t>
      </w:r>
    </w:p>
    <w:p w:rsidR="007E1802" w:rsidRDefault="007E1802" w:rsidP="007E1802">
      <w:pPr>
        <w:pStyle w:val="a3"/>
        <w:widowControl/>
        <w:ind w:firstLine="510"/>
        <w:jc w:val="center"/>
      </w:pPr>
    </w:p>
    <w:p w:rsidR="00777A7F" w:rsidRDefault="00916ED0">
      <w:pPr>
        <w:pStyle w:val="a3"/>
        <w:widowControl/>
        <w:jc w:val="center"/>
      </w:pPr>
      <w:r>
        <w:rPr>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活动组委会办公室</w:t>
      </w:r>
      <w:r>
        <w:rPr>
          <w:rStyle w:val="a4"/>
          <w:rFonts w:ascii="Arial" w:hAnsi="Arial" w:cs="Arial"/>
          <w:color w:val="333333"/>
          <w:sz w:val="27"/>
          <w:szCs w:val="27"/>
          <w:shd w:val="clear" w:color="auto" w:fill="FFFFFF"/>
        </w:rPr>
        <w:t xml:space="preserve"> 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4</w:t>
      </w:r>
      <w:r>
        <w:rPr>
          <w:rStyle w:val="a4"/>
          <w:rFonts w:ascii="Arial" w:hAnsi="Arial" w:cs="Arial"/>
          <w:color w:val="333333"/>
          <w:sz w:val="27"/>
          <w:szCs w:val="27"/>
          <w:shd w:val="clear" w:color="auto" w:fill="FFFFFF"/>
        </w:rPr>
        <w:t>月</w:t>
      </w:r>
      <w:r>
        <w:rPr>
          <w:rStyle w:val="a4"/>
          <w:rFonts w:ascii="Arial" w:hAnsi="Arial" w:cs="Arial"/>
          <w:color w:val="333333"/>
          <w:sz w:val="27"/>
          <w:szCs w:val="27"/>
          <w:shd w:val="clear" w:color="auto" w:fill="FFFFFF"/>
        </w:rPr>
        <w:t>4</w:t>
      </w:r>
      <w:r>
        <w:rPr>
          <w:rStyle w:val="a4"/>
          <w:rFonts w:ascii="Arial" w:hAnsi="Arial" w:cs="Arial"/>
          <w:color w:val="333333"/>
          <w:sz w:val="27"/>
          <w:szCs w:val="27"/>
          <w:shd w:val="clear" w:color="auto" w:fill="FFFFFF"/>
        </w:rPr>
        <w:t>日</w:t>
      </w:r>
    </w:p>
    <w:p w:rsidR="00777A7F" w:rsidRDefault="00916ED0">
      <w:pPr>
        <w:pStyle w:val="a3"/>
        <w:widowControl/>
        <w:jc w:val="center"/>
      </w:pPr>
      <w:r>
        <w:rPr>
          <w:rStyle w:val="a4"/>
          <w:rFonts w:ascii="Arial" w:hAnsi="Arial" w:cs="Arial"/>
          <w:color w:val="333333"/>
          <w:sz w:val="27"/>
          <w:szCs w:val="27"/>
          <w:shd w:val="clear" w:color="auto" w:fill="FFFFFF"/>
        </w:rPr>
        <w:t xml:space="preserve">　　</w:t>
      </w:r>
      <w:r>
        <w:rPr>
          <w:rStyle w:val="a4"/>
          <w:rFonts w:ascii="Arial" w:hAnsi="Arial" w:cs="Arial"/>
          <w:color w:val="333333"/>
          <w:sz w:val="27"/>
          <w:szCs w:val="27"/>
          <w:shd w:val="clear" w:color="auto" w:fill="FFFFFF"/>
        </w:rPr>
        <w:t>2014</w:t>
      </w:r>
      <w:r>
        <w:rPr>
          <w:rStyle w:val="a4"/>
          <w:rFonts w:ascii="Arial" w:hAnsi="Arial" w:cs="Arial"/>
          <w:color w:val="333333"/>
          <w:sz w:val="27"/>
          <w:szCs w:val="27"/>
          <w:shd w:val="clear" w:color="auto" w:fill="FFFFFF"/>
        </w:rPr>
        <w:t>年</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双百</w:t>
      </w:r>
      <w:r>
        <w:rPr>
          <w:rStyle w:val="a4"/>
          <w:rFonts w:ascii="Arial" w:hAnsi="Arial" w:cs="Arial"/>
          <w:color w:val="333333"/>
          <w:sz w:val="27"/>
          <w:szCs w:val="27"/>
          <w:shd w:val="clear" w:color="auto" w:fill="FFFFFF"/>
        </w:rPr>
        <w:t>”</w:t>
      </w:r>
      <w:r>
        <w:rPr>
          <w:rStyle w:val="a4"/>
          <w:rFonts w:ascii="Arial" w:hAnsi="Arial" w:cs="Arial"/>
          <w:color w:val="333333"/>
          <w:sz w:val="27"/>
          <w:szCs w:val="27"/>
          <w:shd w:val="clear" w:color="auto" w:fill="FFFFFF"/>
        </w:rPr>
        <w:t>活动法学专家选题会在北京召开</w:t>
      </w:r>
    </w:p>
    <w:p w:rsidR="00777A7F" w:rsidRPr="007E1802" w:rsidRDefault="00916ED0">
      <w:pPr>
        <w:pStyle w:val="a3"/>
        <w:widowControl/>
        <w:rPr>
          <w:rFonts w:ascii="仿宋_GB2312" w:eastAsia="仿宋_GB2312" w:hAnsi="仿宋" w:cs="Calibri"/>
          <w:color w:val="000000"/>
          <w:kern w:val="2"/>
          <w:sz w:val="32"/>
          <w:szCs w:val="32"/>
          <w:u w:color="000000"/>
          <w:bdr w:val="nil"/>
        </w:rPr>
      </w:pPr>
      <w:r>
        <w:rPr>
          <w:rFonts w:ascii="Arial" w:hAnsi="Arial" w:cs="Arial"/>
          <w:color w:val="333333"/>
          <w:sz w:val="27"/>
          <w:szCs w:val="27"/>
          <w:shd w:val="clear" w:color="auto" w:fill="FFFFFF"/>
        </w:rPr>
        <w:t xml:space="preserve">　　</w:t>
      </w:r>
      <w:r w:rsidRPr="007E1802">
        <w:rPr>
          <w:rFonts w:ascii="仿宋_GB2312" w:eastAsia="仿宋_GB2312" w:hAnsi="仿宋" w:cs="Calibri"/>
          <w:color w:val="000000"/>
          <w:kern w:val="2"/>
          <w:sz w:val="32"/>
          <w:szCs w:val="32"/>
          <w:u w:color="000000"/>
          <w:bdr w:val="nil"/>
        </w:rPr>
        <w:t>3</w:t>
      </w:r>
      <w:r w:rsidRPr="007E1802">
        <w:rPr>
          <w:rFonts w:ascii="仿宋_GB2312" w:eastAsia="仿宋_GB2312" w:hAnsi="仿宋" w:cs="Calibri"/>
          <w:color w:val="000000"/>
          <w:kern w:val="2"/>
          <w:sz w:val="32"/>
          <w:szCs w:val="32"/>
          <w:u w:color="000000"/>
          <w:bdr w:val="nil"/>
        </w:rPr>
        <w:t>月</w:t>
      </w:r>
      <w:r w:rsidRPr="007E1802">
        <w:rPr>
          <w:rFonts w:ascii="仿宋_GB2312" w:eastAsia="仿宋_GB2312" w:hAnsi="仿宋" w:cs="Calibri"/>
          <w:color w:val="000000"/>
          <w:kern w:val="2"/>
          <w:sz w:val="32"/>
          <w:szCs w:val="32"/>
          <w:u w:color="000000"/>
          <w:bdr w:val="nil"/>
        </w:rPr>
        <w:t>18</w:t>
      </w:r>
      <w:r w:rsidRPr="007E1802">
        <w:rPr>
          <w:rFonts w:ascii="仿宋_GB2312" w:eastAsia="仿宋_GB2312" w:hAnsi="仿宋" w:cs="Calibri"/>
          <w:color w:val="000000"/>
          <w:kern w:val="2"/>
          <w:sz w:val="32"/>
          <w:szCs w:val="32"/>
          <w:u w:color="000000"/>
          <w:bdr w:val="nil"/>
        </w:rPr>
        <w:t>日，</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法学专家选题会在北京召开。中国法学会党组书记、常务副会长陈冀平，中国法学会副会长兼秘书长鲍绍坤，中国法学会副会长张鸣起，中国法学会副会长、学术委员会主任张文显出席会议。选题会由陈冀平主持，鲍绍坤作了</w:t>
      </w:r>
      <w:r w:rsidRPr="007E1802">
        <w:rPr>
          <w:rFonts w:ascii="仿宋_GB2312" w:eastAsia="仿宋_GB2312" w:hAnsi="仿宋" w:cs="Calibri"/>
          <w:color w:val="000000"/>
          <w:kern w:val="2"/>
          <w:sz w:val="32"/>
          <w:szCs w:val="32"/>
          <w:u w:color="000000"/>
          <w:bdr w:val="nil"/>
        </w:rPr>
        <w:t>2013</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活动组织开展情况和</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年选题酝酿情况的说明。与会专家学者对</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活动选题和集体备课分组及相关工作安排进行了讨论。</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陈冀平指出，</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年是全面深化改革</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元年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，召开法学专家选题会是为了确保今年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活动更好地贯彻落实党的十八大和十八届二</w:t>
      </w:r>
      <w:r w:rsidRPr="007E1802">
        <w:rPr>
          <w:rFonts w:ascii="仿宋_GB2312" w:eastAsia="仿宋_GB2312" w:hAnsi="仿宋" w:cs="Calibri"/>
          <w:color w:val="000000"/>
          <w:kern w:val="2"/>
          <w:sz w:val="32"/>
          <w:szCs w:val="32"/>
          <w:u w:color="000000"/>
          <w:bdr w:val="nil"/>
        </w:rPr>
        <w:t>中、三中全会、中央政法工作会议和习近平总书记系列重要讲话精神，更好地引领法学研究，</w:t>
      </w:r>
      <w:r w:rsidRPr="007E1802">
        <w:rPr>
          <w:rFonts w:ascii="仿宋_GB2312" w:eastAsia="仿宋_GB2312" w:hAnsi="仿宋" w:cs="Calibri"/>
          <w:color w:val="000000"/>
          <w:kern w:val="2"/>
          <w:sz w:val="32"/>
          <w:szCs w:val="32"/>
          <w:u w:color="000000"/>
          <w:bdr w:val="nil"/>
        </w:rPr>
        <w:lastRenderedPageBreak/>
        <w:t>促进全社会学法、用法、尊法、守法，特别是更加有效地提高领导干部运用法治思维和法治方式深化改革、推动发展、化解矛盾的能力，加快推进法治中国建设，切实发挥法学专家在全面深化改革中的重要作用，促进国家治理体系和治理能力现代化</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也为制定</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活动实施方案和组织召开</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活动组委会会议奠定基础。</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陈冀平强调，选题、备课和宣讲是组织开展</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活动的三个重要环节。选题准不准、备课质量高不高、宣讲效果好不好，决定着整个活动</w:t>
      </w:r>
      <w:r w:rsidRPr="007E1802">
        <w:rPr>
          <w:rFonts w:ascii="仿宋_GB2312" w:eastAsia="仿宋_GB2312" w:hAnsi="仿宋" w:cs="Calibri"/>
          <w:color w:val="000000"/>
          <w:kern w:val="2"/>
          <w:sz w:val="32"/>
          <w:szCs w:val="32"/>
          <w:u w:color="000000"/>
          <w:bdr w:val="nil"/>
        </w:rPr>
        <w:t>的成效。而这其中选题是首要的，他决定着</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活动的重要方向和主要内容。而备课质量高不高，是</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活动能不能达到预期效果的重要前提条件。</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陈冀平指出，下一步法学专家的工作主要是进行集体备课。希望各课题组要高度重视集体备课工作，把备课作为一项带有政治性的重要任务来完成。各课题组要集中时间和力量，群策群力，突击攻关，确保按照时间节点要求，拿出代表法学界最高水平的研究报告，为年度</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活动取得实效打下坚实基础。</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据介绍，</w:t>
      </w:r>
      <w:r w:rsidRPr="007E1802">
        <w:rPr>
          <w:rFonts w:ascii="仿宋_GB2312" w:eastAsia="仿宋_GB2312" w:hAnsi="仿宋" w:cs="Calibri"/>
          <w:color w:val="000000"/>
          <w:kern w:val="2"/>
          <w:sz w:val="32"/>
          <w:szCs w:val="32"/>
          <w:u w:color="000000"/>
          <w:bdr w:val="nil"/>
        </w:rPr>
        <w:t>2013</w:t>
      </w:r>
      <w:r w:rsidRPr="007E1802">
        <w:rPr>
          <w:rFonts w:ascii="仿宋_GB2312" w:eastAsia="仿宋_GB2312" w:hAnsi="仿宋" w:cs="Calibri"/>
          <w:color w:val="000000"/>
          <w:kern w:val="2"/>
          <w:sz w:val="32"/>
          <w:szCs w:val="32"/>
          <w:u w:color="000000"/>
          <w:bdr w:val="nil"/>
        </w:rPr>
        <w:t>年的</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活动，共组织专题报告会</w:t>
      </w:r>
      <w:r w:rsidRPr="007E1802">
        <w:rPr>
          <w:rFonts w:ascii="仿宋_GB2312" w:eastAsia="仿宋_GB2312" w:hAnsi="仿宋" w:cs="Calibri"/>
          <w:color w:val="000000"/>
          <w:kern w:val="2"/>
          <w:sz w:val="32"/>
          <w:szCs w:val="32"/>
          <w:u w:color="000000"/>
          <w:bdr w:val="nil"/>
        </w:rPr>
        <w:t>497</w:t>
      </w:r>
      <w:r w:rsidRPr="007E1802">
        <w:rPr>
          <w:rFonts w:ascii="仿宋_GB2312" w:eastAsia="仿宋_GB2312" w:hAnsi="仿宋" w:cs="Calibri"/>
          <w:color w:val="000000"/>
          <w:kern w:val="2"/>
          <w:sz w:val="32"/>
          <w:szCs w:val="32"/>
          <w:u w:color="000000"/>
          <w:bdr w:val="nil"/>
        </w:rPr>
        <w:t>场，直接听众约</w:t>
      </w:r>
      <w:r w:rsidRPr="007E1802">
        <w:rPr>
          <w:rFonts w:ascii="仿宋_GB2312" w:eastAsia="仿宋_GB2312" w:hAnsi="仿宋" w:cs="Calibri"/>
          <w:color w:val="000000"/>
          <w:kern w:val="2"/>
          <w:sz w:val="32"/>
          <w:szCs w:val="32"/>
          <w:u w:color="000000"/>
          <w:bdr w:val="nil"/>
        </w:rPr>
        <w:t>20</w:t>
      </w:r>
      <w:r w:rsidRPr="007E1802">
        <w:rPr>
          <w:rFonts w:ascii="仿宋_GB2312" w:eastAsia="仿宋_GB2312" w:hAnsi="仿宋" w:cs="Calibri"/>
          <w:color w:val="000000"/>
          <w:kern w:val="2"/>
          <w:sz w:val="32"/>
          <w:szCs w:val="32"/>
          <w:u w:color="000000"/>
          <w:bdr w:val="nil"/>
        </w:rPr>
        <w:t>万人。其中全国</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活动组委会办公室直接协调的报告会</w:t>
      </w:r>
      <w:r w:rsidRPr="007E1802">
        <w:rPr>
          <w:rFonts w:ascii="仿宋_GB2312" w:eastAsia="仿宋_GB2312" w:hAnsi="仿宋" w:cs="Calibri"/>
          <w:color w:val="000000"/>
          <w:kern w:val="2"/>
          <w:sz w:val="32"/>
          <w:szCs w:val="32"/>
          <w:u w:color="000000"/>
          <w:bdr w:val="nil"/>
        </w:rPr>
        <w:t>42</w:t>
      </w:r>
      <w:r w:rsidRPr="007E1802">
        <w:rPr>
          <w:rFonts w:ascii="仿宋_GB2312" w:eastAsia="仿宋_GB2312" w:hAnsi="仿宋" w:cs="Calibri"/>
          <w:color w:val="000000"/>
          <w:kern w:val="2"/>
          <w:sz w:val="32"/>
          <w:szCs w:val="32"/>
          <w:u w:color="000000"/>
          <w:bdr w:val="nil"/>
        </w:rPr>
        <w:t>场，协调</w:t>
      </w:r>
      <w:r w:rsidRPr="007E1802">
        <w:rPr>
          <w:rFonts w:ascii="仿宋_GB2312" w:eastAsia="仿宋_GB2312" w:hAnsi="仿宋" w:cs="Calibri"/>
          <w:color w:val="000000"/>
          <w:kern w:val="2"/>
          <w:sz w:val="32"/>
          <w:szCs w:val="32"/>
          <w:u w:color="000000"/>
          <w:bdr w:val="nil"/>
        </w:rPr>
        <w:t>60</w:t>
      </w:r>
      <w:r w:rsidRPr="007E1802">
        <w:rPr>
          <w:rFonts w:ascii="仿宋_GB2312" w:eastAsia="仿宋_GB2312" w:hAnsi="仿宋" w:cs="Calibri"/>
          <w:color w:val="000000"/>
          <w:kern w:val="2"/>
          <w:sz w:val="32"/>
          <w:szCs w:val="32"/>
          <w:u w:color="000000"/>
          <w:bdr w:val="nil"/>
        </w:rPr>
        <w:t>多位专家教授赴各</w:t>
      </w:r>
      <w:r w:rsidRPr="007E1802">
        <w:rPr>
          <w:rFonts w:ascii="仿宋_GB2312" w:eastAsia="仿宋_GB2312" w:hAnsi="仿宋" w:cs="Calibri"/>
          <w:color w:val="000000"/>
          <w:kern w:val="2"/>
          <w:sz w:val="32"/>
          <w:szCs w:val="32"/>
          <w:u w:color="000000"/>
          <w:bdr w:val="nil"/>
        </w:rPr>
        <w:lastRenderedPageBreak/>
        <w:t>地宣讲。为做好</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年的</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活动，确定</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活动宣讲题目，中国法学会多次召开会议进行专题研究，并征求机关各部门、各事业单位和有关地方法学会、研究会的意见，经讨论、酝酿，研究确定了今年拟组织开展的重点研究课题。宣讲题目主要包括</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学习十八大以来习近平总书记关于法治建设的重要论述</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全面深化改革与法治</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加快法治建设，促进国家治理体系和治理能力现代化</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完善中国特色社会主义法律体系</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加快完善现代市场体系的法治思考</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年所有的宣讲题目都要组织专家集体备课，形成统一的、高质量的宣讲报告，集体备课的成果将汇编成集，作为</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活动的重要成果。</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w:t>
      </w:r>
      <w:proofErr w:type="gramStart"/>
      <w:r w:rsidRPr="007E1802">
        <w:rPr>
          <w:rFonts w:ascii="仿宋_GB2312" w:eastAsia="仿宋_GB2312" w:hAnsi="仿宋" w:cs="Calibri"/>
          <w:color w:val="000000"/>
          <w:kern w:val="2"/>
          <w:sz w:val="32"/>
          <w:szCs w:val="32"/>
          <w:u w:color="000000"/>
          <w:bdr w:val="nil"/>
        </w:rPr>
        <w:t>李步云</w:t>
      </w:r>
      <w:proofErr w:type="gramEnd"/>
      <w:r w:rsidRPr="007E1802">
        <w:rPr>
          <w:rFonts w:ascii="仿宋_GB2312" w:eastAsia="仿宋_GB2312" w:hAnsi="仿宋" w:cs="Calibri"/>
          <w:color w:val="000000"/>
          <w:kern w:val="2"/>
          <w:sz w:val="32"/>
          <w:szCs w:val="32"/>
          <w:u w:color="000000"/>
          <w:bdr w:val="nil"/>
        </w:rPr>
        <w:t>、应松年、李林、黄进、</w:t>
      </w:r>
      <w:proofErr w:type="gramStart"/>
      <w:r w:rsidRPr="007E1802">
        <w:rPr>
          <w:rFonts w:ascii="仿宋_GB2312" w:eastAsia="仿宋_GB2312" w:hAnsi="仿宋" w:cs="Calibri"/>
          <w:color w:val="000000"/>
          <w:kern w:val="2"/>
          <w:sz w:val="32"/>
          <w:szCs w:val="32"/>
          <w:u w:color="000000"/>
          <w:bdr w:val="nil"/>
        </w:rPr>
        <w:t>游劝荣</w:t>
      </w:r>
      <w:proofErr w:type="gramEnd"/>
      <w:r w:rsidRPr="007E1802">
        <w:rPr>
          <w:rFonts w:ascii="仿宋_GB2312" w:eastAsia="仿宋_GB2312" w:hAnsi="仿宋" w:cs="Calibri"/>
          <w:color w:val="000000"/>
          <w:kern w:val="2"/>
          <w:sz w:val="32"/>
          <w:szCs w:val="32"/>
          <w:u w:color="000000"/>
          <w:bdr w:val="nil"/>
        </w:rPr>
        <w:t>、沈国明、张新宝、孙佑海、韩大元、王晨光、林嘉、刘春田、周叶中、葛洪义、宋儒亮、刘俊海、王轶、汪习根和肖建国、王万华、石静霞、罗培新等新当选的七届</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十杰</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，以及中国法学会有关部</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室</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负责人参加会议。</w:t>
      </w:r>
    </w:p>
    <w:p w:rsidR="00777A7F" w:rsidRPr="007E1802" w:rsidRDefault="00916ED0">
      <w:pPr>
        <w:pStyle w:val="a3"/>
        <w:widowControl/>
        <w:jc w:val="center"/>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w:t>
      </w:r>
      <w:r w:rsidRPr="007E1802">
        <w:rPr>
          <w:rFonts w:ascii="仿宋_GB2312" w:eastAsia="仿宋_GB2312" w:hAnsi="仿宋" w:cs="Calibri"/>
          <w:b/>
          <w:color w:val="000000"/>
          <w:kern w:val="2"/>
          <w:sz w:val="32"/>
          <w:szCs w:val="32"/>
          <w:u w:color="000000"/>
          <w:bdr w:val="nil"/>
        </w:rPr>
        <w:t xml:space="preserve">　</w:t>
      </w:r>
      <w:r w:rsidRPr="007E1802">
        <w:rPr>
          <w:rFonts w:ascii="仿宋_GB2312" w:eastAsia="仿宋_GB2312" w:hAnsi="仿宋" w:cs="Calibri"/>
          <w:b/>
          <w:color w:val="000000"/>
          <w:kern w:val="2"/>
          <w:sz w:val="32"/>
          <w:szCs w:val="32"/>
          <w:u w:color="000000"/>
          <w:bdr w:val="nil"/>
        </w:rPr>
        <w:t>2014</w:t>
      </w:r>
      <w:r w:rsidRPr="007E1802">
        <w:rPr>
          <w:rFonts w:ascii="仿宋_GB2312" w:eastAsia="仿宋_GB2312" w:hAnsi="仿宋" w:cs="Calibri"/>
          <w:b/>
          <w:color w:val="000000"/>
          <w:kern w:val="2"/>
          <w:sz w:val="32"/>
          <w:szCs w:val="32"/>
          <w:u w:color="000000"/>
          <w:bdr w:val="nil"/>
        </w:rPr>
        <w:t>年</w:t>
      </w:r>
      <w:r w:rsidRPr="007E1802">
        <w:rPr>
          <w:rFonts w:ascii="仿宋_GB2312" w:eastAsia="仿宋_GB2312" w:hAnsi="仿宋" w:cs="Calibri"/>
          <w:b/>
          <w:color w:val="000000"/>
          <w:kern w:val="2"/>
          <w:sz w:val="32"/>
          <w:szCs w:val="32"/>
          <w:u w:color="000000"/>
          <w:bdr w:val="nil"/>
        </w:rPr>
        <w:t>“</w:t>
      </w:r>
      <w:r w:rsidRPr="007E1802">
        <w:rPr>
          <w:rFonts w:ascii="仿宋_GB2312" w:eastAsia="仿宋_GB2312" w:hAnsi="仿宋" w:cs="Calibri"/>
          <w:b/>
          <w:color w:val="000000"/>
          <w:kern w:val="2"/>
          <w:sz w:val="32"/>
          <w:szCs w:val="32"/>
          <w:u w:color="000000"/>
          <w:bdr w:val="nil"/>
        </w:rPr>
        <w:t>双百</w:t>
      </w:r>
      <w:r w:rsidRPr="007E1802">
        <w:rPr>
          <w:rFonts w:ascii="仿宋_GB2312" w:eastAsia="仿宋_GB2312" w:hAnsi="仿宋" w:cs="Calibri"/>
          <w:b/>
          <w:color w:val="000000"/>
          <w:kern w:val="2"/>
          <w:sz w:val="32"/>
          <w:szCs w:val="32"/>
          <w:u w:color="000000"/>
          <w:bdr w:val="nil"/>
        </w:rPr>
        <w:t>”</w:t>
      </w:r>
      <w:r w:rsidRPr="007E1802">
        <w:rPr>
          <w:rFonts w:ascii="仿宋_GB2312" w:eastAsia="仿宋_GB2312" w:hAnsi="仿宋" w:cs="Calibri"/>
          <w:b/>
          <w:color w:val="000000"/>
          <w:kern w:val="2"/>
          <w:sz w:val="32"/>
          <w:szCs w:val="32"/>
          <w:u w:color="000000"/>
          <w:bdr w:val="nil"/>
        </w:rPr>
        <w:t>活动组委会会议及</w:t>
      </w:r>
      <w:r w:rsidRPr="007E1802">
        <w:rPr>
          <w:rFonts w:ascii="仿宋_GB2312" w:eastAsia="仿宋_GB2312" w:hAnsi="仿宋" w:cs="Calibri"/>
          <w:b/>
          <w:color w:val="000000"/>
          <w:kern w:val="2"/>
          <w:sz w:val="32"/>
          <w:szCs w:val="32"/>
          <w:u w:color="000000"/>
          <w:bdr w:val="nil"/>
        </w:rPr>
        <w:t>“</w:t>
      </w:r>
      <w:r w:rsidRPr="007E1802">
        <w:rPr>
          <w:rFonts w:ascii="仿宋_GB2312" w:eastAsia="仿宋_GB2312" w:hAnsi="仿宋" w:cs="Calibri"/>
          <w:b/>
          <w:color w:val="000000"/>
          <w:kern w:val="2"/>
          <w:sz w:val="32"/>
          <w:szCs w:val="32"/>
          <w:u w:color="000000"/>
          <w:bdr w:val="nil"/>
        </w:rPr>
        <w:t>双百</w:t>
      </w:r>
      <w:r w:rsidRPr="007E1802">
        <w:rPr>
          <w:rFonts w:ascii="仿宋_GB2312" w:eastAsia="仿宋_GB2312" w:hAnsi="仿宋" w:cs="Calibri"/>
          <w:b/>
          <w:color w:val="000000"/>
          <w:kern w:val="2"/>
          <w:sz w:val="32"/>
          <w:szCs w:val="32"/>
          <w:u w:color="000000"/>
          <w:bdr w:val="nil"/>
        </w:rPr>
        <w:t>”</w:t>
      </w:r>
      <w:r w:rsidRPr="007E1802">
        <w:rPr>
          <w:rFonts w:ascii="仿宋_GB2312" w:eastAsia="仿宋_GB2312" w:hAnsi="仿宋" w:cs="Calibri"/>
          <w:b/>
          <w:color w:val="000000"/>
          <w:kern w:val="2"/>
          <w:sz w:val="32"/>
          <w:szCs w:val="32"/>
          <w:u w:color="000000"/>
          <w:bdr w:val="nil"/>
        </w:rPr>
        <w:t>活动法学专家选题会在北京召开</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w:t>
      </w:r>
      <w:r w:rsidRPr="007E1802">
        <w:rPr>
          <w:rFonts w:ascii="仿宋_GB2312" w:eastAsia="仿宋_GB2312" w:hAnsi="仿宋" w:cs="Calibri"/>
          <w:color w:val="000000"/>
          <w:kern w:val="2"/>
          <w:sz w:val="32"/>
          <w:szCs w:val="32"/>
          <w:u w:color="000000"/>
          <w:bdr w:val="nil"/>
        </w:rPr>
        <w:t>3</w:t>
      </w:r>
      <w:r w:rsidRPr="007E1802">
        <w:rPr>
          <w:rFonts w:ascii="仿宋_GB2312" w:eastAsia="仿宋_GB2312" w:hAnsi="仿宋" w:cs="Calibri"/>
          <w:color w:val="000000"/>
          <w:kern w:val="2"/>
          <w:sz w:val="32"/>
          <w:szCs w:val="32"/>
          <w:u w:color="000000"/>
          <w:bdr w:val="nil"/>
        </w:rPr>
        <w:t>月</w:t>
      </w:r>
      <w:r w:rsidRPr="007E1802">
        <w:rPr>
          <w:rFonts w:ascii="仿宋_GB2312" w:eastAsia="仿宋_GB2312" w:hAnsi="仿宋" w:cs="Calibri"/>
          <w:color w:val="000000"/>
          <w:kern w:val="2"/>
          <w:sz w:val="32"/>
          <w:szCs w:val="32"/>
          <w:u w:color="000000"/>
          <w:bdr w:val="nil"/>
        </w:rPr>
        <w:t>26</w:t>
      </w:r>
      <w:r w:rsidRPr="007E1802">
        <w:rPr>
          <w:rFonts w:ascii="仿宋_GB2312" w:eastAsia="仿宋_GB2312" w:hAnsi="仿宋" w:cs="Calibri"/>
          <w:color w:val="000000"/>
          <w:kern w:val="2"/>
          <w:sz w:val="32"/>
          <w:szCs w:val="32"/>
          <w:u w:color="000000"/>
          <w:bdr w:val="nil"/>
        </w:rPr>
        <w:t>日，</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百名法学家百场报告会</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法治宣讲活动</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以</w:t>
      </w:r>
      <w:r w:rsidRPr="007E1802">
        <w:rPr>
          <w:rFonts w:ascii="仿宋_GB2312" w:eastAsia="仿宋_GB2312" w:hAnsi="仿宋" w:cs="Calibri"/>
          <w:color w:val="000000"/>
          <w:kern w:val="2"/>
          <w:sz w:val="32"/>
          <w:szCs w:val="32"/>
          <w:u w:color="000000"/>
          <w:bdr w:val="nil"/>
        </w:rPr>
        <w:t>下简称</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组委会会议在北京召开。</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活动组委会主任、中国法学会会长王乐泉出席会议</w:t>
      </w:r>
      <w:r w:rsidRPr="007E1802">
        <w:rPr>
          <w:rFonts w:ascii="仿宋_GB2312" w:eastAsia="仿宋_GB2312" w:hAnsi="仿宋" w:cs="Calibri"/>
          <w:color w:val="000000"/>
          <w:kern w:val="2"/>
          <w:sz w:val="32"/>
          <w:szCs w:val="32"/>
          <w:u w:color="000000"/>
          <w:bdr w:val="nil"/>
        </w:rPr>
        <w:lastRenderedPageBreak/>
        <w:t>并讲话，中国法学会党组书记、常务副会长陈冀平主持会议，组委会副主任、中央政法委副秘书长王其江，组委会副主任、司法部副部长张彦珍出席会议，</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活动组委会副主任、中国法学会副会长兼秘书长鲍绍坤介绍</w:t>
      </w:r>
      <w:r w:rsidRPr="007E1802">
        <w:rPr>
          <w:rFonts w:ascii="仿宋_GB2312" w:eastAsia="仿宋_GB2312" w:hAnsi="仿宋" w:cs="Calibri"/>
          <w:color w:val="000000"/>
          <w:kern w:val="2"/>
          <w:sz w:val="32"/>
          <w:szCs w:val="32"/>
          <w:u w:color="000000"/>
          <w:bdr w:val="nil"/>
        </w:rPr>
        <w:t>2013</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活动基本情况和</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活动初步安排。</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王乐泉在讲话中指出，党的十八届三中全会对全面深化改革</w:t>
      </w:r>
      <w:proofErr w:type="gramStart"/>
      <w:r w:rsidRPr="007E1802">
        <w:rPr>
          <w:rFonts w:ascii="仿宋_GB2312" w:eastAsia="仿宋_GB2312" w:hAnsi="仿宋" w:cs="Calibri"/>
          <w:color w:val="000000"/>
          <w:kern w:val="2"/>
          <w:sz w:val="32"/>
          <w:szCs w:val="32"/>
          <w:u w:color="000000"/>
          <w:bdr w:val="nil"/>
        </w:rPr>
        <w:t>作出</w:t>
      </w:r>
      <w:proofErr w:type="gramEnd"/>
      <w:r w:rsidRPr="007E1802">
        <w:rPr>
          <w:rFonts w:ascii="仿宋_GB2312" w:eastAsia="仿宋_GB2312" w:hAnsi="仿宋" w:cs="Calibri"/>
          <w:color w:val="000000"/>
          <w:kern w:val="2"/>
          <w:sz w:val="32"/>
          <w:szCs w:val="32"/>
          <w:u w:color="000000"/>
          <w:bdr w:val="nil"/>
        </w:rPr>
        <w:t>了重要部署，今年也是人民代表大会制度实行</w:t>
      </w:r>
      <w:r w:rsidRPr="007E1802">
        <w:rPr>
          <w:rFonts w:ascii="仿宋_GB2312" w:eastAsia="仿宋_GB2312" w:hAnsi="仿宋" w:cs="Calibri"/>
          <w:color w:val="000000"/>
          <w:kern w:val="2"/>
          <w:sz w:val="32"/>
          <w:szCs w:val="32"/>
          <w:u w:color="000000"/>
          <w:bdr w:val="nil"/>
        </w:rPr>
        <w:t>60</w:t>
      </w:r>
      <w:r w:rsidRPr="007E1802">
        <w:rPr>
          <w:rFonts w:ascii="仿宋_GB2312" w:eastAsia="仿宋_GB2312" w:hAnsi="仿宋" w:cs="Calibri"/>
          <w:color w:val="000000"/>
          <w:kern w:val="2"/>
          <w:sz w:val="32"/>
          <w:szCs w:val="32"/>
          <w:u w:color="000000"/>
          <w:bdr w:val="nil"/>
        </w:rPr>
        <w:t>周年和</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五四</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宪法颁布实施</w:t>
      </w:r>
      <w:r w:rsidRPr="007E1802">
        <w:rPr>
          <w:rFonts w:ascii="仿宋_GB2312" w:eastAsia="仿宋_GB2312" w:hAnsi="仿宋" w:cs="Calibri"/>
          <w:color w:val="000000"/>
          <w:kern w:val="2"/>
          <w:sz w:val="32"/>
          <w:szCs w:val="32"/>
          <w:u w:color="000000"/>
          <w:bdr w:val="nil"/>
        </w:rPr>
        <w:t>60</w:t>
      </w:r>
      <w:r w:rsidRPr="007E1802">
        <w:rPr>
          <w:rFonts w:ascii="仿宋_GB2312" w:eastAsia="仿宋_GB2312" w:hAnsi="仿宋" w:cs="Calibri"/>
          <w:color w:val="000000"/>
          <w:kern w:val="2"/>
          <w:sz w:val="32"/>
          <w:szCs w:val="32"/>
          <w:u w:color="000000"/>
          <w:bdr w:val="nil"/>
        </w:rPr>
        <w:t>周年。这些都是国家政治</w:t>
      </w:r>
      <w:r w:rsidRPr="007E1802">
        <w:rPr>
          <w:rFonts w:ascii="仿宋_GB2312" w:eastAsia="仿宋_GB2312" w:hAnsi="仿宋" w:cs="Calibri"/>
          <w:color w:val="000000"/>
          <w:kern w:val="2"/>
          <w:sz w:val="32"/>
          <w:szCs w:val="32"/>
          <w:u w:color="000000"/>
          <w:bdr w:val="nil"/>
        </w:rPr>
        <w:t>生活中的大事，为今年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活动注入了鲜活的内容。新形势对</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活动提出了新要求。认真学习贯彻三中全会精神，是当前和今后一个时期的一项重要政治任务，也是</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活动要重点宣讲的内容。</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王乐泉强调，</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活动的宗旨是以邓小平理论、</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三个代表</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重要思想和科学发展观为指导，围绕我国现代化建设中的重大法治问题，宣传社会主义法治理念，普及法律知识，在全社会弘扬法治精神，推进法治中国建设，为全面深化改革的顺利实施和有序推进，营造良好的法治环境。一是要以各级党委理论学习中心组和党政领导为重点开展宣讲，并向下延伸。</w:t>
      </w:r>
      <w:r w:rsidRPr="007E1802">
        <w:rPr>
          <w:rFonts w:ascii="仿宋_GB2312" w:eastAsia="仿宋_GB2312" w:hAnsi="仿宋" w:cs="Calibri"/>
          <w:color w:val="000000"/>
          <w:kern w:val="2"/>
          <w:sz w:val="32"/>
          <w:szCs w:val="32"/>
          <w:u w:color="000000"/>
          <w:bdr w:val="nil"/>
        </w:rPr>
        <w:t>全国</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组委会重点抓好省</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市、区</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一级，逐级延伸，统筹兼顾，整体推进，形成良好的宣讲体系和宣讲机制，这是确保活动顺利健康开展的主要保</w:t>
      </w:r>
      <w:r w:rsidRPr="007E1802">
        <w:rPr>
          <w:rFonts w:ascii="仿宋_GB2312" w:eastAsia="仿宋_GB2312" w:hAnsi="仿宋" w:cs="Calibri"/>
          <w:color w:val="000000"/>
          <w:kern w:val="2"/>
          <w:sz w:val="32"/>
          <w:szCs w:val="32"/>
          <w:u w:color="000000"/>
          <w:bdr w:val="nil"/>
        </w:rPr>
        <w:lastRenderedPageBreak/>
        <w:t>障。二是要围绕依法治国这个中心开展宣讲。始终服从服务于依法治国这个中心，是开展宣讲的基本遵循。三是要搭建法学专家与党政领导交流对话的平台。各级组委会要想方设法为法学专家提供广阔平台，多安排一些从法学理论角度研究重大疑难问题的内容，确保宣讲达到</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释疑解惑、真正管用</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的效果。</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王乐泉强调，进一步发挥</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活动的现实作用，要认真做好</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法治中国建设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这篇大文章。一是不断提高各</w:t>
      </w:r>
      <w:r w:rsidRPr="007E1802">
        <w:rPr>
          <w:rFonts w:ascii="仿宋_GB2312" w:eastAsia="仿宋_GB2312" w:hAnsi="仿宋" w:cs="Calibri"/>
          <w:color w:val="000000"/>
          <w:kern w:val="2"/>
          <w:sz w:val="32"/>
          <w:szCs w:val="32"/>
          <w:u w:color="000000"/>
          <w:bdr w:val="nil"/>
        </w:rPr>
        <w:t>级党委政府转变执政理念、树立法治思维的能力。</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最直观的效果在于促进各级领导干部法治观念的树立和法治意识的提高。要从各级领导干部最关心的问题入手，认真调查研究，从法理角度进行解读，提出真知灼见，为领导干部决策提供依据。要从当前的热点难点问题着手，全面辩证分析，为领导干部遇事找法、解决问题用法提供参考。二是不断加强法学理论创新。</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活动要始终保持旺盛的生命力，就必须大胆探索、不断创新。要在宣讲内容上求创新，紧紧抓住领导干部关注、人民群众关心的涉法问题组织备课，力求从法理上把现实中的涉法问题讲清楚、</w:t>
      </w:r>
      <w:r w:rsidRPr="007E1802">
        <w:rPr>
          <w:rFonts w:ascii="仿宋_GB2312" w:eastAsia="仿宋_GB2312" w:hAnsi="仿宋" w:cs="Calibri"/>
          <w:color w:val="000000"/>
          <w:kern w:val="2"/>
          <w:sz w:val="32"/>
          <w:szCs w:val="32"/>
          <w:u w:color="000000"/>
          <w:bdr w:val="nil"/>
        </w:rPr>
        <w:t>说明白。要充分运用微博、</w:t>
      </w:r>
      <w:proofErr w:type="gramStart"/>
      <w:r w:rsidRPr="007E1802">
        <w:rPr>
          <w:rFonts w:ascii="仿宋_GB2312" w:eastAsia="仿宋_GB2312" w:hAnsi="仿宋" w:cs="Calibri"/>
          <w:color w:val="000000"/>
          <w:kern w:val="2"/>
          <w:sz w:val="32"/>
          <w:szCs w:val="32"/>
          <w:u w:color="000000"/>
          <w:bdr w:val="nil"/>
        </w:rPr>
        <w:t>微信等</w:t>
      </w:r>
      <w:proofErr w:type="gramEnd"/>
      <w:r w:rsidRPr="007E1802">
        <w:rPr>
          <w:rFonts w:ascii="仿宋_GB2312" w:eastAsia="仿宋_GB2312" w:hAnsi="仿宋" w:cs="Calibri"/>
          <w:color w:val="000000"/>
          <w:kern w:val="2"/>
          <w:sz w:val="32"/>
          <w:szCs w:val="32"/>
          <w:u w:color="000000"/>
          <w:bdr w:val="nil"/>
        </w:rPr>
        <w:t>新媒体对宣讲活动进行宣传，增强宣传的深度和广度，不断扩大</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活动的社会影响力。要在贴近基层、贴近群众上求创新。通过构建不同层次的宣讲梯队、扩大宣讲专家队伍，切实把宣讲对象延伸到基层，</w:t>
      </w:r>
      <w:r w:rsidRPr="007E1802">
        <w:rPr>
          <w:rFonts w:ascii="仿宋_GB2312" w:eastAsia="仿宋_GB2312" w:hAnsi="仿宋" w:cs="Calibri"/>
          <w:color w:val="000000"/>
          <w:kern w:val="2"/>
          <w:sz w:val="32"/>
          <w:szCs w:val="32"/>
          <w:u w:color="000000"/>
          <w:bdr w:val="nil"/>
        </w:rPr>
        <w:lastRenderedPageBreak/>
        <w:t>不断使</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活动向纵深发展。三是不断加强法学专家队伍建设和法学人才培养。锻炼法学专家队伍，发现和培养法律人才是</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活动重要任务。要通过</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活动将他们凝聚在一起，积极引导他们走进社会、走进群众、走进实践，推进理论成果向实践转化，不断巩固这支队伍。与此同时，要注重在活动中发现和培养中青年法</w:t>
      </w:r>
      <w:r w:rsidRPr="007E1802">
        <w:rPr>
          <w:rFonts w:ascii="仿宋_GB2312" w:eastAsia="仿宋_GB2312" w:hAnsi="仿宋" w:cs="Calibri"/>
          <w:color w:val="000000"/>
          <w:kern w:val="2"/>
          <w:sz w:val="32"/>
          <w:szCs w:val="32"/>
          <w:u w:color="000000"/>
          <w:bdr w:val="nil"/>
        </w:rPr>
        <w:t>律人才，不断为这支队伍注入新鲜血液。</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王乐泉要求，进一步加强</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活动组委会的领导作用。一要加强沟通，协力推进。</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活动涉及面广，涉及的部门和人员多，报告会的场次多、规模大，各地区各部门的情况又各不相同，这就需要高效有力的沟通协调。二要各负其责，扎实开展。</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活动的各成员单位作为活动的主办单位，要切实履行职能、各负其责、相互支持，一如既往地做好各项工作。</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活动成功开展的关键是各成员单位充分发挥职能作用。法学会作为</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活动具体工作落实单位，要把</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活动作为今后几年的重要任务，进一步</w:t>
      </w:r>
      <w:r w:rsidRPr="007E1802">
        <w:rPr>
          <w:rFonts w:ascii="仿宋_GB2312" w:eastAsia="仿宋_GB2312" w:hAnsi="仿宋" w:cs="Calibri"/>
          <w:color w:val="000000"/>
          <w:kern w:val="2"/>
          <w:sz w:val="32"/>
          <w:szCs w:val="32"/>
          <w:u w:color="000000"/>
          <w:bdr w:val="nil"/>
        </w:rPr>
        <w:t>增强服务意识，做好各项协调、联络和落实工作。各级党委政法委要关心、重视活动的开展，积极协调解决工作中的困难和问题，必要时可提请地方党委、政府予以支持。三要以点带面、务求实效。</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活动组委会每年都要确</w:t>
      </w:r>
      <w:bookmarkStart w:id="0" w:name="_GoBack"/>
      <w:bookmarkEnd w:id="0"/>
      <w:r w:rsidRPr="007E1802">
        <w:rPr>
          <w:rFonts w:ascii="仿宋_GB2312" w:eastAsia="仿宋_GB2312" w:hAnsi="仿宋" w:cs="Calibri"/>
          <w:color w:val="000000"/>
          <w:kern w:val="2"/>
          <w:sz w:val="32"/>
          <w:szCs w:val="32"/>
          <w:u w:color="000000"/>
          <w:bdr w:val="nil"/>
        </w:rPr>
        <w:t>定若干重点地区和部门开展宣讲，用以指导和推动全国的宣讲。要结合各地区实际积极探索，大胆创新宣讲载体和机制，</w:t>
      </w:r>
      <w:r w:rsidRPr="007E1802">
        <w:rPr>
          <w:rFonts w:ascii="仿宋_GB2312" w:eastAsia="仿宋_GB2312" w:hAnsi="仿宋" w:cs="Calibri"/>
          <w:color w:val="000000"/>
          <w:kern w:val="2"/>
          <w:sz w:val="32"/>
          <w:szCs w:val="32"/>
          <w:u w:color="000000"/>
          <w:bdr w:val="nil"/>
        </w:rPr>
        <w:lastRenderedPageBreak/>
        <w:t>力求讲者理论联系实际，听者解渴受益。各级组委会要以高度的责任感抓好宣讲工作，加强调研部署，强化督导考核。</w:t>
      </w:r>
    </w:p>
    <w:p w:rsidR="00777A7F" w:rsidRPr="007E1802" w:rsidRDefault="00916ED0">
      <w:pPr>
        <w:pStyle w:val="a3"/>
        <w:widowControl/>
        <w:rPr>
          <w:rFonts w:ascii="仿宋_GB2312" w:eastAsia="仿宋_GB2312" w:hAnsi="仿宋" w:cs="Calibri"/>
          <w:color w:val="000000"/>
          <w:kern w:val="2"/>
          <w:sz w:val="32"/>
          <w:szCs w:val="32"/>
          <w:u w:color="000000"/>
          <w:bdr w:val="nil"/>
        </w:rPr>
      </w:pPr>
      <w:r w:rsidRPr="007E1802">
        <w:rPr>
          <w:rFonts w:ascii="仿宋_GB2312" w:eastAsia="仿宋_GB2312" w:hAnsi="仿宋" w:cs="Calibri"/>
          <w:color w:val="000000"/>
          <w:kern w:val="2"/>
          <w:sz w:val="32"/>
          <w:szCs w:val="32"/>
          <w:u w:color="000000"/>
          <w:bdr w:val="nil"/>
        </w:rPr>
        <w:t xml:space="preserve">　　会议审议通过了《</w:t>
      </w:r>
      <w:r w:rsidRPr="007E1802">
        <w:rPr>
          <w:rFonts w:ascii="仿宋_GB2312" w:eastAsia="仿宋_GB2312" w:hAnsi="仿宋" w:cs="Calibri"/>
          <w:color w:val="000000"/>
          <w:kern w:val="2"/>
          <w:sz w:val="32"/>
          <w:szCs w:val="32"/>
          <w:u w:color="000000"/>
          <w:bdr w:val="nil"/>
        </w:rPr>
        <w:t>2014</w:t>
      </w:r>
      <w:r w:rsidRPr="007E1802">
        <w:rPr>
          <w:rFonts w:ascii="仿宋_GB2312" w:eastAsia="仿宋_GB2312" w:hAnsi="仿宋" w:cs="Calibri"/>
          <w:color w:val="000000"/>
          <w:kern w:val="2"/>
          <w:sz w:val="32"/>
          <w:szCs w:val="32"/>
          <w:u w:color="000000"/>
          <w:bdr w:val="nil"/>
        </w:rPr>
        <w:t>年</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双百</w:t>
      </w:r>
      <w:r w:rsidRPr="007E1802">
        <w:rPr>
          <w:rFonts w:ascii="仿宋_GB2312" w:eastAsia="仿宋_GB2312" w:hAnsi="仿宋" w:cs="Calibri"/>
          <w:color w:val="000000"/>
          <w:kern w:val="2"/>
          <w:sz w:val="32"/>
          <w:szCs w:val="32"/>
          <w:u w:color="000000"/>
          <w:bdr w:val="nil"/>
        </w:rPr>
        <w:t>”</w:t>
      </w:r>
      <w:r w:rsidRPr="007E1802">
        <w:rPr>
          <w:rFonts w:ascii="仿宋_GB2312" w:eastAsia="仿宋_GB2312" w:hAnsi="仿宋" w:cs="Calibri"/>
          <w:color w:val="000000"/>
          <w:kern w:val="2"/>
          <w:sz w:val="32"/>
          <w:szCs w:val="32"/>
          <w:u w:color="000000"/>
          <w:bdr w:val="nil"/>
        </w:rPr>
        <w:t>活动实施方案》。中央组织部干部教育局副巡视员潘洪杰、中宣部宣</w:t>
      </w:r>
      <w:r w:rsidRPr="007E1802">
        <w:rPr>
          <w:rFonts w:ascii="仿宋_GB2312" w:eastAsia="仿宋_GB2312" w:hAnsi="仿宋" w:cs="Calibri"/>
          <w:color w:val="000000"/>
          <w:kern w:val="2"/>
          <w:sz w:val="32"/>
          <w:szCs w:val="32"/>
          <w:u w:color="000000"/>
          <w:bdr w:val="nil"/>
        </w:rPr>
        <w:t>传教育局局长</w:t>
      </w:r>
      <w:proofErr w:type="gramStart"/>
      <w:r w:rsidRPr="007E1802">
        <w:rPr>
          <w:rFonts w:ascii="仿宋_GB2312" w:eastAsia="仿宋_GB2312" w:hAnsi="仿宋" w:cs="Calibri"/>
          <w:color w:val="000000"/>
          <w:kern w:val="2"/>
          <w:sz w:val="32"/>
          <w:szCs w:val="32"/>
          <w:u w:color="000000"/>
          <w:bdr w:val="nil"/>
        </w:rPr>
        <w:t>荆</w:t>
      </w:r>
      <w:proofErr w:type="gramEnd"/>
      <w:r w:rsidRPr="007E1802">
        <w:rPr>
          <w:rFonts w:ascii="仿宋_GB2312" w:eastAsia="仿宋_GB2312" w:hAnsi="仿宋" w:cs="Calibri"/>
          <w:color w:val="000000"/>
          <w:kern w:val="2"/>
          <w:sz w:val="32"/>
          <w:szCs w:val="32"/>
          <w:u w:color="000000"/>
          <w:bdr w:val="nil"/>
        </w:rPr>
        <w:t>惠民、教育部思想政治工作司副司长王光彦、司法部法制宣传司副司长李志路、中央直属机关工委宣传部副部长吴清彬、中央国家机关工委宣传部副部长于中城、中国法学会办公室主任刘剑、中国法学会办公室副主任王增勇等组委会成员参加会议。</w:t>
      </w:r>
    </w:p>
    <w:p w:rsidR="00777A7F" w:rsidRPr="007E1802" w:rsidRDefault="00777A7F">
      <w:pPr>
        <w:rPr>
          <w:rFonts w:ascii="仿宋_GB2312" w:eastAsia="仿宋_GB2312" w:hAnsi="仿宋" w:cs="Calibri"/>
          <w:color w:val="000000"/>
          <w:sz w:val="32"/>
          <w:szCs w:val="32"/>
          <w:u w:color="000000"/>
          <w:bdr w:val="nil"/>
        </w:rPr>
      </w:pPr>
    </w:p>
    <w:sectPr w:rsidR="00777A7F" w:rsidRPr="007E1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D0" w:rsidRDefault="00916ED0" w:rsidP="007E1802">
      <w:r>
        <w:separator/>
      </w:r>
    </w:p>
  </w:endnote>
  <w:endnote w:type="continuationSeparator" w:id="0">
    <w:p w:rsidR="00916ED0" w:rsidRDefault="00916ED0" w:rsidP="007E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D0" w:rsidRDefault="00916ED0" w:rsidP="007E1802">
      <w:r>
        <w:separator/>
      </w:r>
    </w:p>
  </w:footnote>
  <w:footnote w:type="continuationSeparator" w:id="0">
    <w:p w:rsidR="00916ED0" w:rsidRDefault="00916ED0" w:rsidP="007E1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7F"/>
    <w:rsid w:val="003D2BC8"/>
    <w:rsid w:val="00777A7F"/>
    <w:rsid w:val="007E1802"/>
    <w:rsid w:val="00916ED0"/>
    <w:rsid w:val="08C04D7E"/>
    <w:rsid w:val="2DAF422A"/>
    <w:rsid w:val="396C606A"/>
    <w:rsid w:val="4E13159B"/>
    <w:rsid w:val="4FA124F9"/>
    <w:rsid w:val="50473F0F"/>
    <w:rsid w:val="5707733B"/>
    <w:rsid w:val="619079C6"/>
    <w:rsid w:val="65864C40"/>
    <w:rsid w:val="679A251C"/>
    <w:rsid w:val="6B3B2E68"/>
    <w:rsid w:val="7D130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E1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1802"/>
    <w:rPr>
      <w:rFonts w:asciiTheme="minorHAnsi" w:eastAsiaTheme="minorEastAsia" w:hAnsiTheme="minorHAnsi" w:cstheme="minorBidi"/>
      <w:kern w:val="2"/>
      <w:sz w:val="18"/>
      <w:szCs w:val="18"/>
    </w:rPr>
  </w:style>
  <w:style w:type="paragraph" w:styleId="a6">
    <w:name w:val="footer"/>
    <w:basedOn w:val="a"/>
    <w:link w:val="Char0"/>
    <w:rsid w:val="007E1802"/>
    <w:pPr>
      <w:tabs>
        <w:tab w:val="center" w:pos="4153"/>
        <w:tab w:val="right" w:pos="8306"/>
      </w:tabs>
      <w:snapToGrid w:val="0"/>
      <w:jc w:val="left"/>
    </w:pPr>
    <w:rPr>
      <w:sz w:val="18"/>
      <w:szCs w:val="18"/>
    </w:rPr>
  </w:style>
  <w:style w:type="character" w:customStyle="1" w:styleId="Char0">
    <w:name w:val="页脚 Char"/>
    <w:basedOn w:val="a0"/>
    <w:link w:val="a6"/>
    <w:rsid w:val="007E18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E1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1802"/>
    <w:rPr>
      <w:rFonts w:asciiTheme="minorHAnsi" w:eastAsiaTheme="minorEastAsia" w:hAnsiTheme="minorHAnsi" w:cstheme="minorBidi"/>
      <w:kern w:val="2"/>
      <w:sz w:val="18"/>
      <w:szCs w:val="18"/>
    </w:rPr>
  </w:style>
  <w:style w:type="paragraph" w:styleId="a6">
    <w:name w:val="footer"/>
    <w:basedOn w:val="a"/>
    <w:link w:val="Char0"/>
    <w:rsid w:val="007E1802"/>
    <w:pPr>
      <w:tabs>
        <w:tab w:val="center" w:pos="4153"/>
        <w:tab w:val="right" w:pos="8306"/>
      </w:tabs>
      <w:snapToGrid w:val="0"/>
      <w:jc w:val="left"/>
    </w:pPr>
    <w:rPr>
      <w:sz w:val="18"/>
      <w:szCs w:val="18"/>
    </w:rPr>
  </w:style>
  <w:style w:type="character" w:customStyle="1" w:styleId="Char0">
    <w:name w:val="页脚 Char"/>
    <w:basedOn w:val="a0"/>
    <w:link w:val="a6"/>
    <w:rsid w:val="007E18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xinxibu</cp:lastModifiedBy>
  <cp:revision>2</cp:revision>
  <dcterms:created xsi:type="dcterms:W3CDTF">2014-10-29T12:08:00Z</dcterms:created>
  <dcterms:modified xsi:type="dcterms:W3CDTF">2018-12-24T07:28:00Z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