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6E" w:rsidRDefault="004E4A6E" w:rsidP="004E4A6E">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4E4A6E" w:rsidRDefault="00DF1C4E" w:rsidP="004E4A6E">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4E4A6E">
        <w:rPr>
          <w:rFonts w:ascii="宋体" w:eastAsia="宋体" w:hAnsi="宋体" w:cs="宋体"/>
          <w:b/>
          <w:bCs/>
          <w:color w:val="000000"/>
          <w:sz w:val="44"/>
          <w:szCs w:val="44"/>
          <w:u w:color="000000"/>
          <w:bdr w:val="nil"/>
          <w:lang w:val="zh-TW" w:eastAsia="zh-TW"/>
        </w:rPr>
        <w:t>2014</w:t>
      </w:r>
      <w:r w:rsidRPr="004E4A6E">
        <w:rPr>
          <w:rFonts w:ascii="宋体" w:eastAsia="宋体" w:hAnsi="宋体" w:cs="宋体"/>
          <w:b/>
          <w:bCs/>
          <w:color w:val="000000"/>
          <w:sz w:val="44"/>
          <w:szCs w:val="44"/>
          <w:u w:color="000000"/>
          <w:bdr w:val="nil"/>
          <w:lang w:val="zh-TW" w:eastAsia="zh-TW"/>
        </w:rPr>
        <w:t>年</w:t>
      </w:r>
      <w:r w:rsidRPr="004E4A6E">
        <w:rPr>
          <w:rFonts w:ascii="宋体" w:eastAsia="宋体" w:hAnsi="宋体" w:cs="宋体"/>
          <w:b/>
          <w:bCs/>
          <w:color w:val="000000"/>
          <w:sz w:val="44"/>
          <w:szCs w:val="44"/>
          <w:u w:color="000000"/>
          <w:bdr w:val="nil"/>
          <w:lang w:val="zh-TW" w:eastAsia="zh-TW"/>
        </w:rPr>
        <w:t>“</w:t>
      </w:r>
      <w:r w:rsidRPr="004E4A6E">
        <w:rPr>
          <w:rFonts w:ascii="宋体" w:eastAsia="宋体" w:hAnsi="宋体" w:cs="宋体"/>
          <w:b/>
          <w:bCs/>
          <w:color w:val="000000"/>
          <w:sz w:val="44"/>
          <w:szCs w:val="44"/>
          <w:u w:color="000000"/>
          <w:bdr w:val="nil"/>
          <w:lang w:val="zh-TW" w:eastAsia="zh-TW"/>
        </w:rPr>
        <w:t>百名法学家百场报告会</w:t>
      </w:r>
      <w:r w:rsidRPr="004E4A6E">
        <w:rPr>
          <w:rFonts w:ascii="宋体" w:eastAsia="宋体" w:hAnsi="宋体" w:cs="宋体"/>
          <w:b/>
          <w:bCs/>
          <w:color w:val="000000"/>
          <w:sz w:val="44"/>
          <w:szCs w:val="44"/>
          <w:u w:color="000000"/>
          <w:bdr w:val="nil"/>
          <w:lang w:val="zh-TW" w:eastAsia="zh-TW"/>
        </w:rPr>
        <w:t>”</w:t>
      </w:r>
    </w:p>
    <w:p w:rsidR="00CA63A6" w:rsidRDefault="00DF1C4E" w:rsidP="004E4A6E">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4E4A6E">
        <w:rPr>
          <w:rFonts w:ascii="宋体" w:eastAsia="宋体" w:hAnsi="宋体" w:cs="宋体"/>
          <w:b/>
          <w:bCs/>
          <w:color w:val="000000"/>
          <w:sz w:val="44"/>
          <w:szCs w:val="44"/>
          <w:u w:color="000000"/>
          <w:bdr w:val="nil"/>
          <w:lang w:val="zh-TW" w:eastAsia="zh-TW"/>
        </w:rPr>
        <w:t>法治宣讲活动情况通报</w:t>
      </w:r>
    </w:p>
    <w:p w:rsidR="004E4A6E" w:rsidRPr="004E4A6E" w:rsidRDefault="004E4A6E" w:rsidP="004E4A6E">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CA63A6" w:rsidRDefault="00DF1C4E" w:rsidP="004E4A6E">
      <w:pPr>
        <w:pStyle w:val="a3"/>
        <w:widowControl/>
        <w:ind w:firstLine="570"/>
        <w:jc w:val="center"/>
        <w:rPr>
          <w:rStyle w:val="a4"/>
          <w:rFonts w:ascii="Arial" w:hAnsi="Arial" w:cs="Arial" w:hint="eastAsia"/>
          <w:color w:val="333333"/>
          <w:sz w:val="27"/>
          <w:szCs w:val="27"/>
          <w:shd w:val="clear" w:color="auto" w:fill="FFFFFF"/>
        </w:rPr>
      </w:pPr>
      <w:r>
        <w:rPr>
          <w:rStyle w:val="a4"/>
          <w:rFonts w:ascii="Arial" w:hAnsi="Arial" w:cs="Arial"/>
          <w:color w:val="333333"/>
          <w:sz w:val="27"/>
          <w:szCs w:val="27"/>
          <w:shd w:val="clear" w:color="auto" w:fill="FFFFFF"/>
        </w:rPr>
        <w:t>第</w:t>
      </w:r>
      <w:r>
        <w:rPr>
          <w:rStyle w:val="a4"/>
          <w:rFonts w:ascii="Arial" w:hAnsi="Arial" w:cs="Arial"/>
          <w:color w:val="333333"/>
          <w:sz w:val="27"/>
          <w:szCs w:val="27"/>
          <w:shd w:val="clear" w:color="auto" w:fill="FFFFFF"/>
        </w:rPr>
        <w:t>4</w:t>
      </w:r>
      <w:r>
        <w:rPr>
          <w:rStyle w:val="a4"/>
          <w:rFonts w:ascii="Arial" w:hAnsi="Arial" w:cs="Arial"/>
          <w:color w:val="333333"/>
          <w:sz w:val="27"/>
          <w:szCs w:val="27"/>
          <w:shd w:val="clear" w:color="auto" w:fill="FFFFFF"/>
        </w:rPr>
        <w:t>期</w:t>
      </w:r>
    </w:p>
    <w:p w:rsidR="004E4A6E" w:rsidRDefault="004E4A6E" w:rsidP="004E4A6E">
      <w:pPr>
        <w:pStyle w:val="a3"/>
        <w:widowControl/>
        <w:ind w:firstLine="570"/>
        <w:jc w:val="center"/>
      </w:pPr>
    </w:p>
    <w:p w:rsidR="00CA63A6" w:rsidRDefault="00DF1C4E">
      <w:pPr>
        <w:pStyle w:val="a3"/>
        <w:widowControl/>
        <w:jc w:val="center"/>
      </w:pPr>
      <w:r>
        <w:rPr>
          <w:rStyle w:val="a4"/>
          <w:rFonts w:ascii="Arial" w:hAnsi="Arial" w:cs="Arial"/>
          <w:color w:val="333333"/>
          <w:sz w:val="27"/>
          <w:szCs w:val="27"/>
          <w:shd w:val="clear" w:color="auto" w:fill="FFFFFF"/>
        </w:rPr>
        <w:t xml:space="preserve">　　</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双百</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活动组委会办公室</w:t>
      </w:r>
      <w:r>
        <w:rPr>
          <w:rStyle w:val="a4"/>
          <w:rFonts w:ascii="Arial" w:hAnsi="Arial" w:cs="Arial"/>
          <w:color w:val="333333"/>
          <w:sz w:val="27"/>
          <w:szCs w:val="27"/>
          <w:shd w:val="clear" w:color="auto" w:fill="FFFFFF"/>
        </w:rPr>
        <w:t xml:space="preserve"> 2014</w:t>
      </w:r>
      <w:r>
        <w:rPr>
          <w:rStyle w:val="a4"/>
          <w:rFonts w:ascii="Arial" w:hAnsi="Arial" w:cs="Arial"/>
          <w:color w:val="333333"/>
          <w:sz w:val="27"/>
          <w:szCs w:val="27"/>
          <w:shd w:val="clear" w:color="auto" w:fill="FFFFFF"/>
        </w:rPr>
        <w:t>年</w:t>
      </w:r>
      <w:r>
        <w:rPr>
          <w:rStyle w:val="a4"/>
          <w:rFonts w:ascii="Arial" w:hAnsi="Arial" w:cs="Arial"/>
          <w:color w:val="333333"/>
          <w:sz w:val="27"/>
          <w:szCs w:val="27"/>
          <w:shd w:val="clear" w:color="auto" w:fill="FFFFFF"/>
        </w:rPr>
        <w:t>6</w:t>
      </w:r>
      <w:r>
        <w:rPr>
          <w:rStyle w:val="a4"/>
          <w:rFonts w:ascii="Arial" w:hAnsi="Arial" w:cs="Arial"/>
          <w:color w:val="333333"/>
          <w:sz w:val="27"/>
          <w:szCs w:val="27"/>
          <w:shd w:val="clear" w:color="auto" w:fill="FFFFFF"/>
        </w:rPr>
        <w:t>月</w:t>
      </w:r>
      <w:r>
        <w:rPr>
          <w:rStyle w:val="a4"/>
          <w:rFonts w:ascii="Arial" w:hAnsi="Arial" w:cs="Arial"/>
          <w:color w:val="333333"/>
          <w:sz w:val="27"/>
          <w:szCs w:val="27"/>
          <w:shd w:val="clear" w:color="auto" w:fill="FFFFFF"/>
        </w:rPr>
        <w:t>17</w:t>
      </w:r>
      <w:r>
        <w:rPr>
          <w:rStyle w:val="a4"/>
          <w:rFonts w:ascii="Arial" w:hAnsi="Arial" w:cs="Arial"/>
          <w:color w:val="333333"/>
          <w:sz w:val="27"/>
          <w:szCs w:val="27"/>
          <w:shd w:val="clear" w:color="auto" w:fill="FFFFFF"/>
        </w:rPr>
        <w:t>日</w:t>
      </w:r>
    </w:p>
    <w:p w:rsidR="00CA63A6" w:rsidRPr="004E4A6E" w:rsidRDefault="00DF1C4E">
      <w:pPr>
        <w:pStyle w:val="a3"/>
        <w:widowControl/>
        <w:jc w:val="center"/>
        <w:rPr>
          <w:rFonts w:ascii="仿宋_GB2312" w:eastAsia="仿宋_GB2312" w:hAnsi="仿宋" w:cs="Calibri"/>
          <w:color w:val="000000"/>
          <w:kern w:val="2"/>
          <w:sz w:val="32"/>
          <w:szCs w:val="32"/>
          <w:u w:color="000000"/>
          <w:bdr w:val="nil"/>
        </w:rPr>
      </w:pPr>
      <w:r>
        <w:rPr>
          <w:rStyle w:val="a4"/>
          <w:rFonts w:ascii="Arial" w:hAnsi="Arial" w:cs="Arial"/>
          <w:color w:val="333333"/>
          <w:sz w:val="27"/>
          <w:szCs w:val="27"/>
          <w:shd w:val="clear" w:color="auto" w:fill="FFFFFF"/>
        </w:rPr>
        <w:t xml:space="preserve">　　福建省四举措推进</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双百</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工作</w:t>
      </w:r>
    </w:p>
    <w:p w:rsidR="00CA63A6" w:rsidRPr="004E4A6E" w:rsidRDefault="00DF1C4E">
      <w:pPr>
        <w:pStyle w:val="a3"/>
        <w:widowControl/>
        <w:rPr>
          <w:rFonts w:ascii="仿宋_GB2312" w:eastAsia="仿宋_GB2312" w:hAnsi="仿宋" w:cs="Calibri"/>
          <w:color w:val="000000"/>
          <w:kern w:val="2"/>
          <w:sz w:val="32"/>
          <w:szCs w:val="32"/>
          <w:u w:color="000000"/>
          <w:bdr w:val="nil"/>
        </w:rPr>
      </w:pPr>
      <w:r w:rsidRPr="004E4A6E">
        <w:rPr>
          <w:rFonts w:ascii="仿宋_GB2312" w:eastAsia="仿宋_GB2312" w:hAnsi="仿宋" w:cs="Calibri"/>
          <w:color w:val="000000"/>
          <w:kern w:val="2"/>
          <w:sz w:val="32"/>
          <w:szCs w:val="32"/>
          <w:u w:color="000000"/>
          <w:bdr w:val="nil"/>
        </w:rPr>
        <w:t xml:space="preserve">　</w:t>
      </w:r>
      <w:r>
        <w:rPr>
          <w:rFonts w:ascii="Arial" w:hAnsi="Arial" w:cs="Arial"/>
          <w:color w:val="333333"/>
          <w:sz w:val="27"/>
          <w:szCs w:val="27"/>
          <w:shd w:val="clear" w:color="auto" w:fill="FFFFFF"/>
        </w:rPr>
        <w:t xml:space="preserve">　</w:t>
      </w:r>
      <w:r w:rsidRPr="004E4A6E">
        <w:rPr>
          <w:rFonts w:ascii="仿宋_GB2312" w:eastAsia="仿宋_GB2312" w:hAnsi="仿宋" w:cs="Calibri"/>
          <w:color w:val="000000"/>
          <w:kern w:val="2"/>
          <w:sz w:val="32"/>
          <w:szCs w:val="32"/>
          <w:u w:color="000000"/>
          <w:bdr w:val="nil"/>
        </w:rPr>
        <w:t>6</w:t>
      </w:r>
      <w:r w:rsidRPr="004E4A6E">
        <w:rPr>
          <w:rFonts w:ascii="仿宋_GB2312" w:eastAsia="仿宋_GB2312" w:hAnsi="仿宋" w:cs="Calibri"/>
          <w:color w:val="000000"/>
          <w:kern w:val="2"/>
          <w:sz w:val="32"/>
          <w:szCs w:val="32"/>
          <w:u w:color="000000"/>
          <w:bdr w:val="nil"/>
        </w:rPr>
        <w:t>月</w:t>
      </w:r>
      <w:r w:rsidRPr="004E4A6E">
        <w:rPr>
          <w:rFonts w:ascii="仿宋_GB2312" w:eastAsia="仿宋_GB2312" w:hAnsi="仿宋" w:cs="Calibri"/>
          <w:color w:val="000000"/>
          <w:kern w:val="2"/>
          <w:sz w:val="32"/>
          <w:szCs w:val="32"/>
          <w:u w:color="000000"/>
          <w:bdr w:val="nil"/>
        </w:rPr>
        <w:t>6</w:t>
      </w:r>
      <w:r w:rsidRPr="004E4A6E">
        <w:rPr>
          <w:rFonts w:ascii="仿宋_GB2312" w:eastAsia="仿宋_GB2312" w:hAnsi="仿宋" w:cs="Calibri"/>
          <w:color w:val="000000"/>
          <w:kern w:val="2"/>
          <w:sz w:val="32"/>
          <w:szCs w:val="32"/>
          <w:u w:color="000000"/>
          <w:bdr w:val="nil"/>
        </w:rPr>
        <w:t>上午，福建省召开</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活动组委会全体成员会议，学习传达全国</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组委会会议精神，回顾总结</w:t>
      </w:r>
      <w:r w:rsidRPr="004E4A6E">
        <w:rPr>
          <w:rFonts w:ascii="仿宋_GB2312" w:eastAsia="仿宋_GB2312" w:hAnsi="仿宋" w:cs="Calibri"/>
          <w:color w:val="000000"/>
          <w:kern w:val="2"/>
          <w:sz w:val="32"/>
          <w:szCs w:val="32"/>
          <w:u w:color="000000"/>
          <w:bdr w:val="nil"/>
        </w:rPr>
        <w:t>2013</w:t>
      </w:r>
      <w:r w:rsidRPr="004E4A6E">
        <w:rPr>
          <w:rFonts w:ascii="仿宋_GB2312" w:eastAsia="仿宋_GB2312" w:hAnsi="仿宋" w:cs="Calibri"/>
          <w:color w:val="000000"/>
          <w:kern w:val="2"/>
          <w:sz w:val="32"/>
          <w:szCs w:val="32"/>
          <w:u w:color="000000"/>
          <w:bdr w:val="nil"/>
        </w:rPr>
        <w:t>年全省</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工作，研究安排年度</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法治宣讲活动。省委政法委常务副书记、省</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活动组委会常务副主任李晋闽，省委政法委</w:t>
      </w:r>
      <w:proofErr w:type="gramStart"/>
      <w:r w:rsidRPr="004E4A6E">
        <w:rPr>
          <w:rFonts w:ascii="仿宋_GB2312" w:eastAsia="仿宋_GB2312" w:hAnsi="仿宋" w:cs="Calibri"/>
          <w:color w:val="000000"/>
          <w:kern w:val="2"/>
          <w:sz w:val="32"/>
          <w:szCs w:val="32"/>
          <w:u w:color="000000"/>
          <w:bdr w:val="nil"/>
        </w:rPr>
        <w:t>委务</w:t>
      </w:r>
      <w:proofErr w:type="gramEnd"/>
      <w:r w:rsidRPr="004E4A6E">
        <w:rPr>
          <w:rFonts w:ascii="仿宋_GB2312" w:eastAsia="仿宋_GB2312" w:hAnsi="仿宋" w:cs="Calibri"/>
          <w:color w:val="000000"/>
          <w:kern w:val="2"/>
          <w:sz w:val="32"/>
          <w:szCs w:val="32"/>
          <w:u w:color="000000"/>
          <w:bdr w:val="nil"/>
        </w:rPr>
        <w:t>会议成员、省法学会专职副会长兼秘书长张琦，省直机关工委副书记夏善国，省教育厅副厅长张程远，省司法厅巡视员肖建新，省委宣传部副巡视员王启敏，以及省委组织部、宣传部、政法委、教育厅、司法厅、法学会等组委会成员单位的相关同志参加了会议。</w:t>
      </w:r>
    </w:p>
    <w:p w:rsidR="00CA63A6" w:rsidRPr="004E4A6E" w:rsidRDefault="00DF1C4E">
      <w:pPr>
        <w:pStyle w:val="a3"/>
        <w:widowControl/>
        <w:rPr>
          <w:rFonts w:ascii="仿宋_GB2312" w:eastAsia="仿宋_GB2312" w:hAnsi="仿宋" w:cs="Calibri"/>
          <w:color w:val="000000"/>
          <w:kern w:val="2"/>
          <w:sz w:val="32"/>
          <w:szCs w:val="32"/>
          <w:u w:color="000000"/>
          <w:bdr w:val="nil"/>
        </w:rPr>
      </w:pPr>
      <w:r w:rsidRPr="004E4A6E">
        <w:rPr>
          <w:rFonts w:ascii="仿宋_GB2312" w:eastAsia="仿宋_GB2312" w:hAnsi="仿宋" w:cs="Calibri"/>
          <w:color w:val="000000"/>
          <w:kern w:val="2"/>
          <w:sz w:val="32"/>
          <w:szCs w:val="32"/>
          <w:u w:color="000000"/>
          <w:bdr w:val="nil"/>
        </w:rPr>
        <w:t xml:space="preserve">　　与会同志听取了全国</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组委会会精神</w:t>
      </w:r>
      <w:r w:rsidRPr="004E4A6E">
        <w:rPr>
          <w:rFonts w:ascii="仿宋_GB2312" w:eastAsia="仿宋_GB2312" w:hAnsi="仿宋" w:cs="Calibri"/>
          <w:color w:val="000000"/>
          <w:kern w:val="2"/>
          <w:sz w:val="32"/>
          <w:szCs w:val="32"/>
          <w:u w:color="000000"/>
          <w:bdr w:val="nil"/>
        </w:rPr>
        <w:t>传达后，一致认为，王乐泉会长在全国</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组委会会议中的讲话，站在加快推进法治中国建设的高度，强调了</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活动的</w:t>
      </w:r>
      <w:r w:rsidRPr="004E4A6E">
        <w:rPr>
          <w:rFonts w:ascii="仿宋_GB2312" w:eastAsia="仿宋_GB2312" w:hAnsi="仿宋" w:cs="Calibri"/>
          <w:color w:val="000000"/>
          <w:kern w:val="2"/>
          <w:sz w:val="32"/>
          <w:szCs w:val="32"/>
          <w:u w:color="000000"/>
          <w:bdr w:val="nil"/>
        </w:rPr>
        <w:lastRenderedPageBreak/>
        <w:t>重要意义，明确了</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活动定位和任务，对新形势下加强</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活动组委会的领导，进一步发挥</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活动的现实作用提出的具体要求，具有很强的针对性、指导性。表示要认真贯彻落实全国</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组委会会议精神，积极履行职能、各负其责、加强配合，进一步做好我省的</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活动各项工作。与会同志讨论了我省</w:t>
      </w:r>
      <w:r w:rsidRPr="004E4A6E">
        <w:rPr>
          <w:rFonts w:ascii="仿宋_GB2312" w:eastAsia="仿宋_GB2312" w:hAnsi="仿宋" w:cs="Calibri"/>
          <w:color w:val="000000"/>
          <w:kern w:val="2"/>
          <w:sz w:val="32"/>
          <w:szCs w:val="32"/>
          <w:u w:color="000000"/>
          <w:bdr w:val="nil"/>
        </w:rPr>
        <w:t>2014</w:t>
      </w:r>
      <w:r w:rsidRPr="004E4A6E">
        <w:rPr>
          <w:rFonts w:ascii="仿宋_GB2312" w:eastAsia="仿宋_GB2312" w:hAnsi="仿宋" w:cs="Calibri"/>
          <w:color w:val="000000"/>
          <w:kern w:val="2"/>
          <w:sz w:val="32"/>
          <w:szCs w:val="32"/>
          <w:u w:color="000000"/>
          <w:bdr w:val="nil"/>
        </w:rPr>
        <w:t>年</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宣讲活动安排方案，就推动</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活动达成一致意见，提出四项举措：</w:t>
      </w:r>
    </w:p>
    <w:p w:rsidR="00CA63A6" w:rsidRPr="004E4A6E" w:rsidRDefault="00DF1C4E">
      <w:pPr>
        <w:pStyle w:val="a3"/>
        <w:widowControl/>
        <w:rPr>
          <w:rFonts w:ascii="仿宋_GB2312" w:eastAsia="仿宋_GB2312" w:hAnsi="仿宋" w:cs="Calibri"/>
          <w:color w:val="000000"/>
          <w:kern w:val="2"/>
          <w:sz w:val="32"/>
          <w:szCs w:val="32"/>
          <w:u w:color="000000"/>
          <w:bdr w:val="nil"/>
        </w:rPr>
      </w:pPr>
      <w:r w:rsidRPr="004E4A6E">
        <w:rPr>
          <w:rFonts w:ascii="仿宋_GB2312" w:eastAsia="仿宋_GB2312" w:hAnsi="仿宋" w:cs="Calibri"/>
          <w:color w:val="000000"/>
          <w:kern w:val="2"/>
          <w:sz w:val="32"/>
          <w:szCs w:val="32"/>
          <w:u w:color="000000"/>
          <w:bdr w:val="nil"/>
        </w:rPr>
        <w:t xml:space="preserve">　　一是统一规划，加强指</w:t>
      </w:r>
      <w:r w:rsidRPr="004E4A6E">
        <w:rPr>
          <w:rFonts w:ascii="仿宋_GB2312" w:eastAsia="仿宋_GB2312" w:hAnsi="仿宋" w:cs="Calibri"/>
          <w:color w:val="000000"/>
          <w:kern w:val="2"/>
          <w:sz w:val="32"/>
          <w:szCs w:val="32"/>
          <w:u w:color="000000"/>
          <w:bdr w:val="nil"/>
        </w:rPr>
        <w:t>导。省组委会按照</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活动常态化的要求和全国组委会的年度安排，在广泛调研和征求各方意见的基础上，统一制定全省</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活动方案。设区市组委会按照省组委会的要求，结合各地实际，制定市直及所属县</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市、区</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活动的具体安排方案，对年度宣讲的题目、对象、场次、时间等，</w:t>
      </w:r>
      <w:proofErr w:type="gramStart"/>
      <w:r w:rsidRPr="004E4A6E">
        <w:rPr>
          <w:rFonts w:ascii="仿宋_GB2312" w:eastAsia="仿宋_GB2312" w:hAnsi="仿宋" w:cs="Calibri"/>
          <w:color w:val="000000"/>
          <w:kern w:val="2"/>
          <w:sz w:val="32"/>
          <w:szCs w:val="32"/>
          <w:u w:color="000000"/>
          <w:bdr w:val="nil"/>
        </w:rPr>
        <w:t>作出</w:t>
      </w:r>
      <w:proofErr w:type="gramEnd"/>
      <w:r w:rsidRPr="004E4A6E">
        <w:rPr>
          <w:rFonts w:ascii="仿宋_GB2312" w:eastAsia="仿宋_GB2312" w:hAnsi="仿宋" w:cs="Calibri"/>
          <w:color w:val="000000"/>
          <w:kern w:val="2"/>
          <w:sz w:val="32"/>
          <w:szCs w:val="32"/>
          <w:u w:color="000000"/>
          <w:bdr w:val="nil"/>
        </w:rPr>
        <w:t>具体安排。建立省组委会成员单位挂钩联系设区市制度，加强对各地</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活动的指导，督促设区市组委会按照省里方案要求，结合自身工作实际，抓好市直机关单位和所属县区的</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法治宣讲宣传活动，做到层层落实。</w:t>
      </w:r>
    </w:p>
    <w:p w:rsidR="00CA63A6" w:rsidRPr="004E4A6E" w:rsidRDefault="00DF1C4E">
      <w:pPr>
        <w:pStyle w:val="a3"/>
        <w:widowControl/>
        <w:rPr>
          <w:rFonts w:ascii="仿宋_GB2312" w:eastAsia="仿宋_GB2312" w:hAnsi="仿宋" w:cs="Calibri"/>
          <w:color w:val="000000"/>
          <w:kern w:val="2"/>
          <w:sz w:val="32"/>
          <w:szCs w:val="32"/>
          <w:u w:color="000000"/>
          <w:bdr w:val="nil"/>
        </w:rPr>
      </w:pPr>
      <w:r w:rsidRPr="004E4A6E">
        <w:rPr>
          <w:rFonts w:ascii="仿宋_GB2312" w:eastAsia="仿宋_GB2312" w:hAnsi="仿宋" w:cs="Calibri"/>
          <w:color w:val="000000"/>
          <w:kern w:val="2"/>
          <w:sz w:val="32"/>
          <w:szCs w:val="32"/>
          <w:u w:color="000000"/>
          <w:bdr w:val="nil"/>
        </w:rPr>
        <w:t xml:space="preserve">　　二是突出重点，整体推进。突出重点，即</w:t>
      </w:r>
      <w:r w:rsidRPr="004E4A6E">
        <w:rPr>
          <w:rFonts w:ascii="仿宋_GB2312" w:eastAsia="仿宋_GB2312" w:hAnsi="仿宋" w:cs="Calibri"/>
          <w:color w:val="000000"/>
          <w:kern w:val="2"/>
          <w:sz w:val="32"/>
          <w:szCs w:val="32"/>
          <w:u w:color="000000"/>
          <w:bdr w:val="nil"/>
        </w:rPr>
        <w:t>紧紧抓住</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活动进入各级党委</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党组</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理论学习中心组和党政领导这一重点。省组委会今年计划举办</w:t>
      </w:r>
      <w:r w:rsidRPr="004E4A6E">
        <w:rPr>
          <w:rFonts w:ascii="仿宋_GB2312" w:eastAsia="仿宋_GB2312" w:hAnsi="仿宋" w:cs="Calibri"/>
          <w:color w:val="000000"/>
          <w:kern w:val="2"/>
          <w:sz w:val="32"/>
          <w:szCs w:val="32"/>
          <w:u w:color="000000"/>
          <w:bdr w:val="nil"/>
        </w:rPr>
        <w:t>4</w:t>
      </w:r>
      <w:r w:rsidRPr="004E4A6E">
        <w:rPr>
          <w:rFonts w:ascii="仿宋_GB2312" w:eastAsia="仿宋_GB2312" w:hAnsi="仿宋" w:cs="Calibri"/>
          <w:color w:val="000000"/>
          <w:kern w:val="2"/>
          <w:sz w:val="32"/>
          <w:szCs w:val="32"/>
          <w:u w:color="000000"/>
          <w:bdr w:val="nil"/>
        </w:rPr>
        <w:t>场报告会，其中省委理</w:t>
      </w:r>
      <w:r w:rsidRPr="004E4A6E">
        <w:rPr>
          <w:rFonts w:ascii="仿宋_GB2312" w:eastAsia="仿宋_GB2312" w:hAnsi="仿宋" w:cs="Calibri"/>
          <w:color w:val="000000"/>
          <w:kern w:val="2"/>
          <w:sz w:val="32"/>
          <w:szCs w:val="32"/>
          <w:u w:color="000000"/>
          <w:bdr w:val="nil"/>
        </w:rPr>
        <w:lastRenderedPageBreak/>
        <w:t>论学习中心组专场，拟请中央综治办副主任、全国著名法学家、原中国政法大学校长、山东大学校长徐显明作</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学习习近平总书记关于依法治国的重要论述</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报告。要求每个设区市主办至少</w:t>
      </w:r>
      <w:r w:rsidRPr="004E4A6E">
        <w:rPr>
          <w:rFonts w:ascii="仿宋_GB2312" w:eastAsia="仿宋_GB2312" w:hAnsi="仿宋" w:cs="Calibri"/>
          <w:color w:val="000000"/>
          <w:kern w:val="2"/>
          <w:sz w:val="32"/>
          <w:szCs w:val="32"/>
          <w:u w:color="000000"/>
          <w:bdr w:val="nil"/>
        </w:rPr>
        <w:t>3</w:t>
      </w:r>
      <w:r w:rsidRPr="004E4A6E">
        <w:rPr>
          <w:rFonts w:ascii="仿宋_GB2312" w:eastAsia="仿宋_GB2312" w:hAnsi="仿宋" w:cs="Calibri"/>
          <w:color w:val="000000"/>
          <w:kern w:val="2"/>
          <w:sz w:val="32"/>
          <w:szCs w:val="32"/>
          <w:u w:color="000000"/>
          <w:bdr w:val="nil"/>
        </w:rPr>
        <w:t>场</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活动，每个县</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市、区</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党委理论学习中心组至少安排一次法治学习内容。目前，已有</w:t>
      </w:r>
      <w:r w:rsidRPr="004E4A6E">
        <w:rPr>
          <w:rFonts w:ascii="仿宋_GB2312" w:eastAsia="仿宋_GB2312" w:hAnsi="仿宋" w:cs="Calibri"/>
          <w:color w:val="000000"/>
          <w:kern w:val="2"/>
          <w:sz w:val="32"/>
          <w:szCs w:val="32"/>
          <w:u w:color="000000"/>
          <w:bdr w:val="nil"/>
        </w:rPr>
        <w:t>6</w:t>
      </w:r>
      <w:r w:rsidRPr="004E4A6E">
        <w:rPr>
          <w:rFonts w:ascii="仿宋_GB2312" w:eastAsia="仿宋_GB2312" w:hAnsi="仿宋" w:cs="Calibri"/>
          <w:color w:val="000000"/>
          <w:kern w:val="2"/>
          <w:sz w:val="32"/>
          <w:szCs w:val="32"/>
          <w:u w:color="000000"/>
          <w:bdr w:val="nil"/>
        </w:rPr>
        <w:t>个设区市</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活动列入党委理论学习中心组计划，未列入计划的</w:t>
      </w:r>
      <w:r w:rsidRPr="004E4A6E">
        <w:rPr>
          <w:rFonts w:ascii="仿宋_GB2312" w:eastAsia="仿宋_GB2312" w:hAnsi="仿宋" w:cs="Calibri"/>
          <w:color w:val="000000"/>
          <w:kern w:val="2"/>
          <w:sz w:val="32"/>
          <w:szCs w:val="32"/>
          <w:u w:color="000000"/>
          <w:bdr w:val="nil"/>
        </w:rPr>
        <w:t>3</w:t>
      </w:r>
      <w:r w:rsidRPr="004E4A6E">
        <w:rPr>
          <w:rFonts w:ascii="仿宋_GB2312" w:eastAsia="仿宋_GB2312" w:hAnsi="仿宋" w:cs="Calibri"/>
          <w:color w:val="000000"/>
          <w:kern w:val="2"/>
          <w:sz w:val="32"/>
          <w:szCs w:val="32"/>
          <w:u w:color="000000"/>
          <w:bdr w:val="nil"/>
        </w:rPr>
        <w:t>个设区市，省组委会挂钩联系单位将帮助协调争取列入党委理论学习中心组计划。整体推</w:t>
      </w:r>
      <w:r w:rsidRPr="004E4A6E">
        <w:rPr>
          <w:rFonts w:ascii="仿宋_GB2312" w:eastAsia="仿宋_GB2312" w:hAnsi="仿宋" w:cs="Calibri"/>
          <w:color w:val="000000"/>
          <w:kern w:val="2"/>
          <w:sz w:val="32"/>
          <w:szCs w:val="32"/>
          <w:u w:color="000000"/>
          <w:bdr w:val="nil"/>
        </w:rPr>
        <w:t>进，即把</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活动列入各级党政机关、党校、高校的年度政治学习或教学计划。各市、县</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区</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结合当地实际，组织</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活动进机关、进乡村、进社区、进学校、进企业、进单位，把法制宣传与法律服务相结合，在解决实际问题的同时，帮助基层干部转变执政理念，提高运用法治思维和法治方式解决问题的能力。</w:t>
      </w:r>
    </w:p>
    <w:p w:rsidR="00CA63A6" w:rsidRPr="004E4A6E" w:rsidRDefault="00DF1C4E">
      <w:pPr>
        <w:pStyle w:val="a3"/>
        <w:widowControl/>
        <w:rPr>
          <w:rFonts w:ascii="仿宋_GB2312" w:eastAsia="仿宋_GB2312" w:hAnsi="仿宋" w:cs="Calibri"/>
          <w:color w:val="000000"/>
          <w:kern w:val="2"/>
          <w:sz w:val="32"/>
          <w:szCs w:val="32"/>
          <w:u w:color="000000"/>
          <w:bdr w:val="nil"/>
        </w:rPr>
      </w:pPr>
      <w:r w:rsidRPr="004E4A6E">
        <w:rPr>
          <w:rFonts w:ascii="仿宋_GB2312" w:eastAsia="仿宋_GB2312" w:hAnsi="仿宋" w:cs="Calibri"/>
          <w:color w:val="000000"/>
          <w:kern w:val="2"/>
          <w:sz w:val="32"/>
          <w:szCs w:val="32"/>
          <w:u w:color="000000"/>
          <w:bdr w:val="nil"/>
        </w:rPr>
        <w:t xml:space="preserve">　　三是创新形式，扩大影响。根据不同地区、不同对象，选择不同主题，采取不同宣讲形式，提高</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活动的针对性。省委理论学习中心组专场报告会，争取视频直播，组织各级收听收看，扩大覆盖面和影响力</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针对各地法治实践亟待解决的热点、难</w:t>
      </w:r>
      <w:r w:rsidRPr="004E4A6E">
        <w:rPr>
          <w:rFonts w:ascii="仿宋_GB2312" w:eastAsia="仿宋_GB2312" w:hAnsi="仿宋" w:cs="Calibri"/>
          <w:color w:val="000000"/>
          <w:kern w:val="2"/>
          <w:sz w:val="32"/>
          <w:szCs w:val="32"/>
          <w:u w:color="000000"/>
          <w:bdr w:val="nil"/>
        </w:rPr>
        <w:t>点问题，鼓励报告人采取研讨会、座谈会等形式，与有关人员进行研讨互动、问答交流。加大对</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活动的宣传报道，充分利用组委会成员单位所属的</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福建干部在线</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、《党的生活》等网站、刊物开辟</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法治宣传专栏。积极发动报纸、广播、电视、网络等各种新闻</w:t>
      </w:r>
      <w:r w:rsidRPr="004E4A6E">
        <w:rPr>
          <w:rFonts w:ascii="仿宋_GB2312" w:eastAsia="仿宋_GB2312" w:hAnsi="仿宋" w:cs="Calibri"/>
          <w:color w:val="000000"/>
          <w:kern w:val="2"/>
          <w:sz w:val="32"/>
          <w:szCs w:val="32"/>
          <w:u w:color="000000"/>
          <w:bdr w:val="nil"/>
        </w:rPr>
        <w:lastRenderedPageBreak/>
        <w:t>媒介进行广泛宣传报道，进一步扩大</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活动社会影响力。</w:t>
      </w:r>
    </w:p>
    <w:p w:rsidR="00CA63A6" w:rsidRPr="004E4A6E" w:rsidRDefault="00DF1C4E">
      <w:pPr>
        <w:pStyle w:val="a3"/>
        <w:widowControl/>
        <w:rPr>
          <w:rFonts w:ascii="仿宋_GB2312" w:eastAsia="仿宋_GB2312" w:hAnsi="仿宋" w:cs="Calibri"/>
          <w:color w:val="000000"/>
          <w:kern w:val="2"/>
          <w:sz w:val="32"/>
          <w:szCs w:val="32"/>
          <w:u w:color="000000"/>
          <w:bdr w:val="nil"/>
        </w:rPr>
      </w:pPr>
      <w:r w:rsidRPr="004E4A6E">
        <w:rPr>
          <w:rFonts w:ascii="仿宋_GB2312" w:eastAsia="仿宋_GB2312" w:hAnsi="仿宋" w:cs="Calibri"/>
          <w:color w:val="000000"/>
          <w:kern w:val="2"/>
          <w:sz w:val="32"/>
          <w:szCs w:val="32"/>
          <w:u w:color="000000"/>
          <w:bdr w:val="nil"/>
        </w:rPr>
        <w:t xml:space="preserve">　　四是各负其责，形成常态。建立</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活动常态工作机制，充分发挥</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活动组委会的领导作用，推动</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活动扎实有效开展。每年年初，各成员单位主动把</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工作列入本单位的工作计划，早规划、早安排，切实履行</w:t>
      </w:r>
      <w:r w:rsidRPr="004E4A6E">
        <w:rPr>
          <w:rFonts w:ascii="仿宋_GB2312" w:eastAsia="仿宋_GB2312" w:hAnsi="仿宋" w:cs="Calibri"/>
          <w:color w:val="000000"/>
          <w:kern w:val="2"/>
          <w:sz w:val="32"/>
          <w:szCs w:val="32"/>
          <w:u w:color="000000"/>
          <w:bdr w:val="nil"/>
        </w:rPr>
        <w:t>好工作职责。组委会成员单位除认真完成年度计划中的报告会任务外，积极创造条件在系统内组织举办数场法治宣传报告会和法治宣传活动，努力提高干部职工的法治意识和法律素养。省直机关工委把</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双百</w:t>
      </w:r>
      <w:r w:rsidRPr="004E4A6E">
        <w:rPr>
          <w:rFonts w:ascii="仿宋_GB2312" w:eastAsia="仿宋_GB2312" w:hAnsi="仿宋" w:cs="Calibri"/>
          <w:color w:val="000000"/>
          <w:kern w:val="2"/>
          <w:sz w:val="32"/>
          <w:szCs w:val="32"/>
          <w:u w:color="000000"/>
          <w:bdr w:val="nil"/>
        </w:rPr>
        <w:t>”</w:t>
      </w:r>
      <w:r w:rsidRPr="004E4A6E">
        <w:rPr>
          <w:rFonts w:ascii="仿宋_GB2312" w:eastAsia="仿宋_GB2312" w:hAnsi="仿宋" w:cs="Calibri"/>
          <w:color w:val="000000"/>
          <w:kern w:val="2"/>
          <w:sz w:val="32"/>
          <w:szCs w:val="32"/>
          <w:u w:color="000000"/>
          <w:bdr w:val="nil"/>
        </w:rPr>
        <w:t>活动作为机关党建的重要抓手，列入《福建省文明单位考核细则》，把各级党委理论学习中心组学习法治理论列入各级法治建设考评内容。</w:t>
      </w:r>
    </w:p>
    <w:p w:rsidR="00CA63A6" w:rsidRPr="004E4A6E" w:rsidRDefault="00CA63A6">
      <w:pPr>
        <w:rPr>
          <w:rFonts w:ascii="仿宋_GB2312" w:eastAsia="仿宋_GB2312" w:hAnsi="仿宋" w:cs="Calibri"/>
          <w:color w:val="000000"/>
          <w:sz w:val="32"/>
          <w:szCs w:val="32"/>
          <w:u w:color="000000"/>
          <w:bdr w:val="nil"/>
        </w:rPr>
      </w:pPr>
      <w:bookmarkStart w:id="0" w:name="_GoBack"/>
      <w:bookmarkEnd w:id="0"/>
    </w:p>
    <w:sectPr w:rsidR="00CA63A6" w:rsidRPr="004E4A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4E" w:rsidRDefault="00DF1C4E" w:rsidP="004E4A6E">
      <w:r>
        <w:separator/>
      </w:r>
    </w:p>
  </w:endnote>
  <w:endnote w:type="continuationSeparator" w:id="0">
    <w:p w:rsidR="00DF1C4E" w:rsidRDefault="00DF1C4E" w:rsidP="004E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4E" w:rsidRDefault="00DF1C4E" w:rsidP="004E4A6E">
      <w:r>
        <w:separator/>
      </w:r>
    </w:p>
  </w:footnote>
  <w:footnote w:type="continuationSeparator" w:id="0">
    <w:p w:rsidR="00DF1C4E" w:rsidRDefault="00DF1C4E" w:rsidP="004E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A6"/>
    <w:rsid w:val="003D2BC8"/>
    <w:rsid w:val="004E4A6E"/>
    <w:rsid w:val="00CA63A6"/>
    <w:rsid w:val="00DF1C4E"/>
    <w:rsid w:val="08C04D7E"/>
    <w:rsid w:val="2DAF422A"/>
    <w:rsid w:val="4E13159B"/>
    <w:rsid w:val="4FA124F9"/>
    <w:rsid w:val="5707733B"/>
    <w:rsid w:val="619079C6"/>
    <w:rsid w:val="65864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E4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E4A6E"/>
    <w:rPr>
      <w:rFonts w:asciiTheme="minorHAnsi" w:eastAsiaTheme="minorEastAsia" w:hAnsiTheme="minorHAnsi" w:cstheme="minorBidi"/>
      <w:kern w:val="2"/>
      <w:sz w:val="18"/>
      <w:szCs w:val="18"/>
    </w:rPr>
  </w:style>
  <w:style w:type="paragraph" w:styleId="a6">
    <w:name w:val="footer"/>
    <w:basedOn w:val="a"/>
    <w:link w:val="Char0"/>
    <w:rsid w:val="004E4A6E"/>
    <w:pPr>
      <w:tabs>
        <w:tab w:val="center" w:pos="4153"/>
        <w:tab w:val="right" w:pos="8306"/>
      </w:tabs>
      <w:snapToGrid w:val="0"/>
      <w:jc w:val="left"/>
    </w:pPr>
    <w:rPr>
      <w:sz w:val="18"/>
      <w:szCs w:val="18"/>
    </w:rPr>
  </w:style>
  <w:style w:type="character" w:customStyle="1" w:styleId="Char0">
    <w:name w:val="页脚 Char"/>
    <w:basedOn w:val="a0"/>
    <w:link w:val="a6"/>
    <w:rsid w:val="004E4A6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E4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E4A6E"/>
    <w:rPr>
      <w:rFonts w:asciiTheme="minorHAnsi" w:eastAsiaTheme="minorEastAsia" w:hAnsiTheme="minorHAnsi" w:cstheme="minorBidi"/>
      <w:kern w:val="2"/>
      <w:sz w:val="18"/>
      <w:szCs w:val="18"/>
    </w:rPr>
  </w:style>
  <w:style w:type="paragraph" w:styleId="a6">
    <w:name w:val="footer"/>
    <w:basedOn w:val="a"/>
    <w:link w:val="Char0"/>
    <w:rsid w:val="004E4A6E"/>
    <w:pPr>
      <w:tabs>
        <w:tab w:val="center" w:pos="4153"/>
        <w:tab w:val="right" w:pos="8306"/>
      </w:tabs>
      <w:snapToGrid w:val="0"/>
      <w:jc w:val="left"/>
    </w:pPr>
    <w:rPr>
      <w:sz w:val="18"/>
      <w:szCs w:val="18"/>
    </w:rPr>
  </w:style>
  <w:style w:type="character" w:customStyle="1" w:styleId="Char0">
    <w:name w:val="页脚 Char"/>
    <w:basedOn w:val="a0"/>
    <w:link w:val="a6"/>
    <w:rsid w:val="004E4A6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